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96079F" w14:textId="5112D853" w:rsidR="009B414E" w:rsidRDefault="001370AE">
      <w:pPr>
        <w:tabs>
          <w:tab w:val="left" w:pos="1701"/>
          <w:tab w:val="right" w:pos="9639"/>
        </w:tabs>
        <w:spacing w:after="0"/>
        <w:rPr>
          <w:rFonts w:cs="Arial"/>
          <w:b/>
          <w:color w:val="000000"/>
          <w:sz w:val="24"/>
        </w:rPr>
      </w:pPr>
      <w:bookmarkStart w:id="0" w:name="OLE_LINK17"/>
      <w:bookmarkStart w:id="1" w:name="OLE_LINK11"/>
      <w:bookmarkStart w:id="2" w:name="OLE_LINK16"/>
      <w:bookmarkStart w:id="3" w:name="OLE_LINK10"/>
      <w:r>
        <w:rPr>
          <w:rFonts w:cs="Arial"/>
          <w:b/>
          <w:sz w:val="22"/>
          <w:lang w:val="en-US" w:eastAsia="en-US"/>
        </w:rPr>
        <w:t>3GPP TSG RAN Meeting #102</w:t>
      </w:r>
      <w:r>
        <w:rPr>
          <w:rFonts w:cs="Arial"/>
          <w:b/>
          <w:sz w:val="22"/>
          <w:lang w:val="en-US" w:eastAsia="en-US"/>
        </w:rPr>
        <w:tab/>
      </w:r>
      <w:r w:rsidR="00084316" w:rsidRPr="00084316">
        <w:rPr>
          <w:rFonts w:cs="Arial"/>
          <w:b/>
          <w:sz w:val="22"/>
          <w:lang w:val="en-US" w:eastAsia="en-US"/>
        </w:rPr>
        <w:t>RP-232909</w:t>
      </w:r>
      <w:r>
        <w:rPr>
          <w:rFonts w:cs="Arial"/>
          <w:b/>
          <w:sz w:val="22"/>
          <w:lang w:val="en-US" w:eastAsia="en-US"/>
        </w:rPr>
        <w:cr/>
        <w:t>Edinburgh, Scotland, December 11-15, 2023</w:t>
      </w:r>
      <w:r>
        <w:rPr>
          <w:rFonts w:cs="Arial"/>
          <w:b/>
          <w:sz w:val="22"/>
          <w:lang w:val="en-US"/>
        </w:rPr>
        <w:tab/>
      </w:r>
      <w:bookmarkEnd w:id="0"/>
      <w:bookmarkEnd w:id="1"/>
      <w:bookmarkEnd w:id="2"/>
      <w:bookmarkEnd w:id="3"/>
    </w:p>
    <w:p w14:paraId="4EAF1469" w14:textId="77777777" w:rsidR="009B414E" w:rsidRDefault="009B414E">
      <w:pPr>
        <w:tabs>
          <w:tab w:val="left" w:pos="1701"/>
          <w:tab w:val="right" w:pos="9639"/>
        </w:tabs>
        <w:spacing w:before="100" w:beforeAutospacing="1" w:after="100" w:afterAutospacing="1"/>
        <w:rPr>
          <w:rFonts w:cs="Arial"/>
          <w:b/>
          <w:color w:val="000000"/>
          <w:sz w:val="24"/>
        </w:rPr>
      </w:pPr>
    </w:p>
    <w:p w14:paraId="2DAEDC15" w14:textId="70CF0681" w:rsidR="009B414E" w:rsidRDefault="001370AE">
      <w:pPr>
        <w:pStyle w:val="3GPPHeader"/>
        <w:rPr>
          <w:sz w:val="22"/>
        </w:rPr>
      </w:pPr>
      <w:r>
        <w:rPr>
          <w:sz w:val="22"/>
        </w:rPr>
        <w:t>Agenda Item:</w:t>
      </w:r>
      <w:r>
        <w:rPr>
          <w:sz w:val="22"/>
        </w:rPr>
        <w:tab/>
      </w:r>
      <w:r w:rsidR="00A70386" w:rsidRPr="00A70386">
        <w:rPr>
          <w:sz w:val="22"/>
        </w:rPr>
        <w:t>9.1.2.2</w:t>
      </w:r>
    </w:p>
    <w:p w14:paraId="283DE699" w14:textId="77777777" w:rsidR="009B414E" w:rsidRDefault="001370AE">
      <w:pPr>
        <w:pStyle w:val="3GPPHeader"/>
        <w:rPr>
          <w:sz w:val="22"/>
        </w:rPr>
      </w:pPr>
      <w:r>
        <w:rPr>
          <w:sz w:val="22"/>
        </w:rPr>
        <w:t>Source:</w:t>
      </w:r>
      <w:r>
        <w:rPr>
          <w:sz w:val="22"/>
        </w:rPr>
        <w:tab/>
      </w:r>
      <w:r>
        <w:rPr>
          <w:rFonts w:hint="eastAsia"/>
          <w:sz w:val="22"/>
        </w:rPr>
        <w:t>OPPO</w:t>
      </w:r>
    </w:p>
    <w:p w14:paraId="69C454AB" w14:textId="51397D38" w:rsidR="009B414E" w:rsidRDefault="001370AE">
      <w:pPr>
        <w:pStyle w:val="3GPPHeader"/>
        <w:rPr>
          <w:sz w:val="22"/>
        </w:rPr>
      </w:pPr>
      <w:r>
        <w:rPr>
          <w:sz w:val="22"/>
        </w:rPr>
        <w:t>Title:</w:t>
      </w:r>
      <w:r>
        <w:rPr>
          <w:sz w:val="22"/>
        </w:rPr>
        <w:tab/>
      </w:r>
      <w:r w:rsidR="00084316" w:rsidRPr="00084316">
        <w:rPr>
          <w:sz w:val="22"/>
        </w:rPr>
        <w:t>Discussion on further enhancement for XR in Rel19</w:t>
      </w:r>
    </w:p>
    <w:p w14:paraId="2BF12333" w14:textId="77777777" w:rsidR="009B414E" w:rsidRDefault="001370AE">
      <w:pPr>
        <w:pStyle w:val="3GPPHeader"/>
        <w:rPr>
          <w:sz w:val="22"/>
        </w:rPr>
      </w:pPr>
      <w:r>
        <w:rPr>
          <w:sz w:val="22"/>
        </w:rPr>
        <w:t>Document for:</w:t>
      </w:r>
      <w:r>
        <w:rPr>
          <w:sz w:val="22"/>
        </w:rPr>
        <w:tab/>
        <w:t>Discussion, Decision</w:t>
      </w:r>
    </w:p>
    <w:p w14:paraId="5CE037C3" w14:textId="77777777" w:rsidR="009B414E" w:rsidRDefault="009B414E"/>
    <w:p w14:paraId="20C824AF" w14:textId="77777777" w:rsidR="009B414E" w:rsidRDefault="001370AE">
      <w:pPr>
        <w:pStyle w:val="1"/>
      </w:pPr>
      <w:bookmarkStart w:id="4" w:name="_Ref488331639"/>
      <w:r>
        <w:t>Introduction</w:t>
      </w:r>
      <w:bookmarkStart w:id="5" w:name="_Ref178064866"/>
      <w:bookmarkEnd w:id="4"/>
    </w:p>
    <w:p w14:paraId="3934162E" w14:textId="34BDEC43" w:rsidR="009B414E" w:rsidRDefault="001370AE">
      <w:pPr>
        <w:rPr>
          <w:rFonts w:eastAsiaTheme="minorEastAsia"/>
        </w:rPr>
      </w:pPr>
      <w:r>
        <w:rPr>
          <w:rFonts w:eastAsiaTheme="minorEastAsia"/>
        </w:rPr>
        <w:t>This paper share</w:t>
      </w:r>
      <w:r w:rsidR="005459A9">
        <w:rPr>
          <w:rFonts w:eastAsiaTheme="minorEastAsia"/>
        </w:rPr>
        <w:t>s</w:t>
      </w:r>
      <w:r>
        <w:rPr>
          <w:rFonts w:eastAsiaTheme="minorEastAsia"/>
        </w:rPr>
        <w:t xml:space="preserve"> our view on R19 XR </w:t>
      </w:r>
      <w:r w:rsidR="00A70386" w:rsidRPr="00CE791D">
        <w:rPr>
          <w:rFonts w:eastAsiaTheme="minorEastAsia"/>
        </w:rPr>
        <w:t>enhancement</w:t>
      </w:r>
      <w:r>
        <w:rPr>
          <w:rFonts w:eastAsiaTheme="minorEastAsia"/>
        </w:rPr>
        <w:t>.</w:t>
      </w:r>
    </w:p>
    <w:bookmarkEnd w:id="5"/>
    <w:p w14:paraId="1E43BCED" w14:textId="77777777" w:rsidR="009B414E" w:rsidRDefault="001370AE">
      <w:pPr>
        <w:pStyle w:val="1"/>
      </w:pPr>
      <w:r>
        <w:t>Discussion</w:t>
      </w:r>
    </w:p>
    <w:p w14:paraId="27B39E40" w14:textId="77777777" w:rsidR="009B414E" w:rsidRDefault="001370AE">
      <w:pPr>
        <w:pStyle w:val="20"/>
        <w:rPr>
          <w:rFonts w:ascii="Times New Roman" w:hAnsi="Times New Roman"/>
          <w:lang w:val="en-US"/>
        </w:rPr>
      </w:pPr>
      <w:r>
        <w:rPr>
          <w:rFonts w:ascii="Times New Roman" w:hAnsi="Times New Roman"/>
          <w:lang w:val="en-US"/>
        </w:rPr>
        <w:t>R18 XR progress and leftover</w:t>
      </w:r>
    </w:p>
    <w:p w14:paraId="30CAC209" w14:textId="77777777" w:rsidR="009B414E" w:rsidRDefault="001370AE">
      <w:pPr>
        <w:rPr>
          <w:rFonts w:ascii="Times New Roman" w:hAnsi="Times New Roman"/>
          <w:b/>
          <w:bCs/>
          <w:lang w:val="en-US"/>
        </w:rPr>
      </w:pPr>
      <w:r>
        <w:rPr>
          <w:rFonts w:ascii="Times New Roman" w:hAnsi="Times New Roman"/>
          <w:b/>
          <w:bCs/>
          <w:lang w:val="en-US"/>
        </w:rPr>
        <w:t>Enhancements related to power saving [RAN2]</w:t>
      </w:r>
    </w:p>
    <w:p w14:paraId="47C22DA8" w14:textId="4047E7E0" w:rsidR="009B414E" w:rsidRDefault="001370AE">
      <w:pPr>
        <w:rPr>
          <w:rFonts w:ascii="Times New Roman" w:hAnsi="Times New Roman"/>
          <w:lang w:val="en-US"/>
        </w:rPr>
      </w:pPr>
      <w:r>
        <w:rPr>
          <w:rFonts w:ascii="Times New Roman" w:hAnsi="Times New Roman"/>
          <w:lang w:val="en-US"/>
        </w:rPr>
        <w:t xml:space="preserve">On R18 XR power saving aspects, RAN2 focuses on the work to handle non-integer XR traffic periodicity and finally agrees to introduce rational numbers in DRX cycle configuration. Meanwhile, the SFN warp-around issue is resolved by using a method similar to the one designed for CG in R16 </w:t>
      </w:r>
      <w:proofErr w:type="spellStart"/>
      <w:r>
        <w:rPr>
          <w:rFonts w:ascii="Times New Roman" w:hAnsi="Times New Roman"/>
          <w:lang w:val="en-US"/>
        </w:rPr>
        <w:t>IIoT</w:t>
      </w:r>
      <w:proofErr w:type="spellEnd"/>
      <w:r>
        <w:rPr>
          <w:rFonts w:ascii="Times New Roman" w:hAnsi="Times New Roman"/>
          <w:lang w:val="en-US"/>
        </w:rPr>
        <w:t xml:space="preserve">. </w:t>
      </w:r>
      <w:r>
        <w:rPr>
          <w:rFonts w:ascii="Times New Roman" w:hAnsi="Times New Roman" w:hint="eastAsia"/>
          <w:lang w:val="en-US"/>
        </w:rPr>
        <w:t>From</w:t>
      </w:r>
      <w:r>
        <w:rPr>
          <w:rFonts w:ascii="Times New Roman" w:hAnsi="Times New Roman"/>
          <w:lang w:val="en-US"/>
        </w:rPr>
        <w:t xml:space="preserve"> the </w:t>
      </w:r>
      <w:r>
        <w:rPr>
          <w:rFonts w:ascii="Times New Roman" w:hAnsi="Times New Roman" w:hint="eastAsia"/>
          <w:lang w:val="en-US"/>
        </w:rPr>
        <w:t>RAN2</w:t>
      </w:r>
      <w:r>
        <w:rPr>
          <w:rFonts w:ascii="Times New Roman" w:hAnsi="Times New Roman"/>
          <w:lang w:val="en-US"/>
        </w:rPr>
        <w:t xml:space="preserve"> point of view, these works are completed and no further enhancement is to be pursued in R19.</w:t>
      </w:r>
    </w:p>
    <w:p w14:paraId="7F5E5E12" w14:textId="77777777" w:rsidR="009B414E" w:rsidRDefault="001370AE">
      <w:pPr>
        <w:rPr>
          <w:rFonts w:ascii="Times New Roman" w:hAnsi="Times New Roman"/>
          <w:b/>
          <w:bCs/>
          <w:lang w:val="en-US"/>
        </w:rPr>
      </w:pPr>
      <w:r>
        <w:rPr>
          <w:rFonts w:ascii="Times New Roman" w:hAnsi="Times New Roman"/>
          <w:b/>
          <w:bCs/>
          <w:lang w:val="en-US"/>
        </w:rPr>
        <w:t>Enhancements related to capacity [RAN1, RAN2, RAN3]</w:t>
      </w:r>
    </w:p>
    <w:p w14:paraId="25CBEFAF" w14:textId="0EB2D67C" w:rsidR="009B414E" w:rsidRPr="00CD1786" w:rsidRDefault="001370AE">
      <w:pPr>
        <w:rPr>
          <w:rFonts w:ascii="Times New Roman" w:hAnsi="Times New Roman"/>
          <w:lang w:val="en-US"/>
        </w:rPr>
      </w:pPr>
      <w:r>
        <w:rPr>
          <w:rFonts w:ascii="Times New Roman" w:hAnsi="Times New Roman" w:hint="eastAsia"/>
          <w:lang w:val="en-US"/>
        </w:rPr>
        <w:t>I</w:t>
      </w:r>
      <w:r>
        <w:rPr>
          <w:rFonts w:ascii="Times New Roman" w:hAnsi="Times New Roman"/>
          <w:lang w:val="en-US"/>
        </w:rPr>
        <w:t>n R18, the UE configuring with multiple CG PUSCH transmission occasions in a period of a single CG as well as reporting the unused CG PUSCH occasion(s) by using UTO-UCI</w:t>
      </w:r>
      <w:r w:rsidR="005459A9">
        <w:rPr>
          <w:rFonts w:ascii="Times New Roman" w:hAnsi="Times New Roman"/>
          <w:lang w:val="en-US"/>
        </w:rPr>
        <w:t xml:space="preserve"> has been supported</w:t>
      </w:r>
      <w:r>
        <w:rPr>
          <w:rFonts w:ascii="Times New Roman" w:hAnsi="Times New Roman"/>
          <w:lang w:val="en-US"/>
        </w:rPr>
        <w:t xml:space="preserve">. It requires the enhancement of the CG occasion determination, the HPI determination, the design of UTO-UCI, etc. In addition, R18 also covers the DG-related enhancement to improve the capacity, including supporting a new and static BS table for the quantization error reduction as well as the DSR reporting for timely scheduling. Moreover, the PDCP discard operation of PDU Sets also falls in the scope of the capacity enhancement because it can free of radio resources. From the RAN point of view, the work on these sub-features is completed. </w:t>
      </w:r>
    </w:p>
    <w:p w14:paraId="1BB6D51B" w14:textId="21974595" w:rsidR="009B414E" w:rsidRDefault="001370AE">
      <w:pPr>
        <w:rPr>
          <w:rFonts w:ascii="Times New Roman" w:hAnsi="Times New Roman"/>
          <w:lang w:val="en-US"/>
        </w:rPr>
      </w:pPr>
      <w:r>
        <w:rPr>
          <w:rFonts w:ascii="Times New Roman" w:hAnsi="Times New Roman"/>
          <w:lang w:val="en-US"/>
        </w:rPr>
        <w:t>FEC-based discard</w:t>
      </w:r>
      <w:r w:rsidR="00EB1ACF">
        <w:rPr>
          <w:rFonts w:ascii="Times New Roman" w:hAnsi="Times New Roman"/>
          <w:lang w:val="en-US"/>
        </w:rPr>
        <w:t>ing</w:t>
      </w:r>
      <w:r w:rsidR="00CB0869">
        <w:rPr>
          <w:rFonts w:ascii="Times New Roman" w:hAnsi="Times New Roman"/>
          <w:lang w:val="en-US"/>
        </w:rPr>
        <w:t xml:space="preserve"> </w:t>
      </w:r>
      <w:r w:rsidR="005459A9">
        <w:rPr>
          <w:rFonts w:ascii="Times New Roman" w:hAnsi="Times New Roman"/>
          <w:lang w:val="en-US"/>
        </w:rPr>
        <w:t>was</w:t>
      </w:r>
      <w:r>
        <w:rPr>
          <w:rFonts w:ascii="Times New Roman" w:hAnsi="Times New Roman"/>
          <w:lang w:val="en-US"/>
        </w:rPr>
        <w:t xml:space="preserve"> discussed in the </w:t>
      </w:r>
      <w:r w:rsidR="005459A9">
        <w:rPr>
          <w:rFonts w:ascii="Times New Roman" w:hAnsi="Times New Roman"/>
          <w:lang w:val="en-US"/>
        </w:rPr>
        <w:t>study</w:t>
      </w:r>
      <w:r>
        <w:rPr>
          <w:rFonts w:ascii="Times New Roman" w:hAnsi="Times New Roman"/>
          <w:lang w:val="en-US"/>
        </w:rPr>
        <w:t xml:space="preserve"> phase, </w:t>
      </w:r>
      <w:r w:rsidR="005459A9">
        <w:rPr>
          <w:rFonts w:ascii="Times New Roman" w:hAnsi="Times New Roman"/>
          <w:lang w:val="en-US"/>
        </w:rPr>
        <w:t xml:space="preserve">however </w:t>
      </w:r>
      <w:r>
        <w:rPr>
          <w:rFonts w:ascii="Times New Roman" w:hAnsi="Times New Roman"/>
          <w:lang w:val="en-US"/>
        </w:rPr>
        <w:t xml:space="preserve">eventually </w:t>
      </w:r>
      <w:r w:rsidR="005459A9">
        <w:rPr>
          <w:rFonts w:ascii="Times New Roman" w:hAnsi="Times New Roman"/>
          <w:lang w:val="en-US"/>
        </w:rPr>
        <w:t xml:space="preserve">the </w:t>
      </w:r>
      <w:r>
        <w:rPr>
          <w:rFonts w:ascii="Times New Roman" w:hAnsi="Times New Roman"/>
          <w:lang w:val="en-US"/>
        </w:rPr>
        <w:t>scope</w:t>
      </w:r>
      <w:r w:rsidR="005459A9">
        <w:rPr>
          <w:rFonts w:ascii="Times New Roman" w:hAnsi="Times New Roman"/>
          <w:lang w:val="en-US"/>
        </w:rPr>
        <w:t xml:space="preserve"> was narrowed down</w:t>
      </w:r>
      <w:r>
        <w:rPr>
          <w:rFonts w:ascii="Times New Roman" w:hAnsi="Times New Roman"/>
          <w:lang w:val="en-US"/>
        </w:rPr>
        <w:t xml:space="preserve"> to PSI/PSIHI-based enhancement due to the lack of SA2 support. Considering potential FEC enhancement </w:t>
      </w:r>
      <w:r w:rsidR="005459A9">
        <w:rPr>
          <w:rFonts w:ascii="Times New Roman" w:hAnsi="Times New Roman"/>
          <w:lang w:val="en-US"/>
        </w:rPr>
        <w:t xml:space="preserve">has </w:t>
      </w:r>
      <w:r w:rsidR="00EB1ACF">
        <w:rPr>
          <w:rFonts w:ascii="Times New Roman" w:hAnsi="Times New Roman"/>
          <w:lang w:val="en-US"/>
        </w:rPr>
        <w:t xml:space="preserve">already </w:t>
      </w:r>
      <w:r w:rsidR="005459A9">
        <w:rPr>
          <w:rFonts w:ascii="Times New Roman" w:hAnsi="Times New Roman"/>
          <w:lang w:val="en-US"/>
        </w:rPr>
        <w:t xml:space="preserve">been included in the SA approved SID of XRM ph2 </w:t>
      </w:r>
      <w:r>
        <w:rPr>
          <w:rFonts w:ascii="Times New Roman" w:hAnsi="Times New Roman"/>
          <w:lang w:val="en-US"/>
        </w:rPr>
        <w:t>[2] and there is some support in RAN</w:t>
      </w:r>
      <w:r w:rsidR="005459A9">
        <w:rPr>
          <w:rFonts w:ascii="Times New Roman" w:hAnsi="Times New Roman"/>
          <w:lang w:val="en-US"/>
        </w:rPr>
        <w:t>#101</w:t>
      </w:r>
      <w:r>
        <w:rPr>
          <w:rFonts w:ascii="Times New Roman" w:hAnsi="Times New Roman"/>
          <w:lang w:val="en-US"/>
        </w:rPr>
        <w:t xml:space="preserve"> [5] </w:t>
      </w:r>
      <w:r>
        <w:rPr>
          <w:rFonts w:ascii="Times New Roman" w:hAnsi="Times New Roman" w:hint="eastAsia"/>
          <w:lang w:val="en-US"/>
        </w:rPr>
        <w:t>as</w:t>
      </w:r>
      <w:r>
        <w:rPr>
          <w:rFonts w:ascii="Times New Roman" w:hAnsi="Times New Roman"/>
          <w:lang w:val="en-US"/>
        </w:rPr>
        <w:t xml:space="preserve"> </w:t>
      </w:r>
      <w:r>
        <w:rPr>
          <w:rFonts w:ascii="Times New Roman" w:hAnsi="Times New Roman" w:hint="eastAsia"/>
          <w:lang w:val="en-US"/>
        </w:rPr>
        <w:t>shown</w:t>
      </w:r>
      <w:r>
        <w:rPr>
          <w:rFonts w:ascii="Times New Roman" w:hAnsi="Times New Roman"/>
          <w:lang w:val="en-US"/>
        </w:rPr>
        <w:t xml:space="preserve"> </w:t>
      </w:r>
      <w:r>
        <w:rPr>
          <w:rFonts w:ascii="Times New Roman" w:hAnsi="Times New Roman" w:hint="eastAsia"/>
          <w:lang w:val="en-US"/>
        </w:rPr>
        <w:t>below</w:t>
      </w:r>
      <w:r>
        <w:rPr>
          <w:rFonts w:ascii="Times New Roman" w:hAnsi="Times New Roman"/>
          <w:lang w:val="en-US"/>
        </w:rPr>
        <w:t xml:space="preserve">, RAN2 </w:t>
      </w:r>
      <w:r w:rsidR="00EB1ACF">
        <w:rPr>
          <w:rFonts w:ascii="Times New Roman" w:hAnsi="Times New Roman"/>
          <w:lang w:val="en-US"/>
        </w:rPr>
        <w:t xml:space="preserve">can </w:t>
      </w:r>
      <w:r>
        <w:rPr>
          <w:rFonts w:ascii="Times New Roman" w:hAnsi="Times New Roman"/>
          <w:lang w:val="en-US"/>
        </w:rPr>
        <w:t>further consider the FEC-based discard</w:t>
      </w:r>
      <w:r w:rsidR="00EB1ACF">
        <w:rPr>
          <w:rFonts w:ascii="Times New Roman" w:hAnsi="Times New Roman"/>
          <w:lang w:val="en-US"/>
        </w:rPr>
        <w:t>ing</w:t>
      </w:r>
      <w:r>
        <w:rPr>
          <w:rFonts w:ascii="Times New Roman" w:hAnsi="Times New Roman"/>
          <w:lang w:val="en-US"/>
        </w:rPr>
        <w:t xml:space="preserve"> in R19.</w:t>
      </w:r>
    </w:p>
    <w:tbl>
      <w:tblPr>
        <w:tblStyle w:val="aff0"/>
        <w:tblW w:w="0" w:type="auto"/>
        <w:tblLook w:val="04A0" w:firstRow="1" w:lastRow="0" w:firstColumn="1" w:lastColumn="0" w:noHBand="0" w:noVBand="1"/>
      </w:tblPr>
      <w:tblGrid>
        <w:gridCol w:w="9629"/>
      </w:tblGrid>
      <w:tr w:rsidR="009B414E" w14:paraId="4E78BB00" w14:textId="77777777">
        <w:tc>
          <w:tcPr>
            <w:tcW w:w="9629" w:type="dxa"/>
          </w:tcPr>
          <w:p w14:paraId="501A400E" w14:textId="77777777" w:rsidR="009B414E" w:rsidRDefault="001370AE">
            <w:pPr>
              <w:pStyle w:val="B1"/>
              <w:rPr>
                <w:rFonts w:ascii="Times New Roman" w:hAnsi="Times New Roman"/>
                <w:b/>
                <w:bCs/>
              </w:rPr>
            </w:pPr>
            <w:r>
              <w:rPr>
                <w:rFonts w:ascii="Times New Roman" w:hAnsi="Times New Roman"/>
                <w:b/>
                <w:bCs/>
                <w:lang w:val="en-US"/>
              </w:rPr>
              <w:t>SA2 aspect: SID of XRM ph2</w:t>
            </w:r>
          </w:p>
          <w:p w14:paraId="785C612B" w14:textId="77777777" w:rsidR="005459A9" w:rsidRPr="00DF32A1" w:rsidRDefault="005459A9" w:rsidP="005459A9">
            <w:pPr>
              <w:pStyle w:val="B1"/>
              <w:rPr>
                <w:rFonts w:ascii="Times New Roman" w:hAnsi="Times New Roman"/>
                <w:iCs/>
              </w:rPr>
            </w:pPr>
            <w:r w:rsidRPr="00DF32A1">
              <w:rPr>
                <w:rFonts w:ascii="Times New Roman" w:hAnsi="Times New Roman"/>
              </w:rPr>
              <w:t>WT</w:t>
            </w:r>
            <w:r>
              <w:rPr>
                <w:rFonts w:ascii="Times New Roman" w:hAnsi="Times New Roman"/>
              </w:rPr>
              <w:t>#</w:t>
            </w:r>
            <w:r w:rsidRPr="00DF32A1">
              <w:rPr>
                <w:rFonts w:ascii="Times New Roman" w:hAnsi="Times New Roman"/>
              </w:rPr>
              <w:t>1 Enhancement for PDU Set based QoS handling.</w:t>
            </w:r>
          </w:p>
          <w:p w14:paraId="0B08B9EB" w14:textId="77777777" w:rsidR="005459A9" w:rsidRPr="00DF32A1" w:rsidRDefault="005459A9" w:rsidP="005459A9">
            <w:pPr>
              <w:pStyle w:val="B2"/>
            </w:pPr>
            <w:r>
              <w:t>WT#</w:t>
            </w:r>
            <w:r w:rsidRPr="00DF32A1">
              <w:t xml:space="preserve">1.1 Study whether and how to enhance PDU Set related (e.g. </w:t>
            </w:r>
            <w:r>
              <w:t xml:space="preserve">new standardized </w:t>
            </w:r>
            <w:r w:rsidRPr="00DF32A1">
              <w:t xml:space="preserve">5QI, </w:t>
            </w:r>
            <w:r>
              <w:t xml:space="preserve">enhancements to </w:t>
            </w:r>
            <w:r w:rsidRPr="00DF32A1">
              <w:t>Alternative QoS</w:t>
            </w:r>
            <w:r>
              <w:t xml:space="preserve"> profiles</w:t>
            </w:r>
            <w:r w:rsidRPr="00DF32A1">
              <w:t xml:space="preserve">, </w:t>
            </w:r>
            <w:r w:rsidRPr="005459A9">
              <w:rPr>
                <w:highlight w:val="yellow"/>
              </w:rPr>
              <w:t>FEC</w:t>
            </w:r>
            <w:r w:rsidRPr="00DF32A1">
              <w:t xml:space="preserve">) and PDU Set information (including Control Plane and/or User plane information provided by the AF/AS) and the corresponding PDU Set QoS handling enhancement. </w:t>
            </w:r>
          </w:p>
          <w:p w14:paraId="2C442CD5" w14:textId="1357E992" w:rsidR="009B414E" w:rsidRDefault="009B414E">
            <w:pPr>
              <w:pStyle w:val="B1"/>
              <w:ind w:firstLine="0"/>
              <w:rPr>
                <w:rFonts w:ascii="Times New Roman" w:hAnsi="Times New Roman"/>
              </w:rPr>
            </w:pPr>
          </w:p>
        </w:tc>
      </w:tr>
    </w:tbl>
    <w:p w14:paraId="08AABDC1" w14:textId="77777777" w:rsidR="009B414E" w:rsidRDefault="009B414E">
      <w:pPr>
        <w:rPr>
          <w:rFonts w:ascii="Times New Roman" w:hAnsi="Times New Roman"/>
          <w:lang w:val="en-US"/>
        </w:rPr>
      </w:pPr>
    </w:p>
    <w:tbl>
      <w:tblPr>
        <w:tblStyle w:val="aff0"/>
        <w:tblW w:w="0" w:type="auto"/>
        <w:tblLook w:val="04A0" w:firstRow="1" w:lastRow="0" w:firstColumn="1" w:lastColumn="0" w:noHBand="0" w:noVBand="1"/>
      </w:tblPr>
      <w:tblGrid>
        <w:gridCol w:w="9629"/>
      </w:tblGrid>
      <w:tr w:rsidR="009B414E" w14:paraId="395D076D" w14:textId="77777777">
        <w:tc>
          <w:tcPr>
            <w:tcW w:w="9629" w:type="dxa"/>
          </w:tcPr>
          <w:p w14:paraId="193E44EC" w14:textId="77777777" w:rsidR="009B414E" w:rsidRDefault="001370AE">
            <w:pPr>
              <w:pStyle w:val="BoldComments"/>
              <w:ind w:firstLineChars="200" w:firstLine="402"/>
              <w:rPr>
                <w:rFonts w:ascii="Times New Roman" w:hAnsi="Times New Roman"/>
                <w:szCs w:val="20"/>
                <w:lang w:val="en-GB"/>
              </w:rPr>
            </w:pPr>
            <w:bookmarkStart w:id="6" w:name="OLE_LINK12"/>
            <w:r>
              <w:rPr>
                <w:rFonts w:ascii="Times New Roman" w:hAnsi="Times New Roman"/>
                <w:szCs w:val="20"/>
                <w:lang w:val="en-GB"/>
              </w:rPr>
              <w:t xml:space="preserve">RANP aspect: Moderator's summary for REL-19 XR </w:t>
            </w:r>
            <w:r>
              <w:rPr>
                <w:rFonts w:ascii="Times New Roman" w:hAnsi="Times New Roman" w:hint="eastAsia"/>
                <w:szCs w:val="20"/>
                <w:lang w:val="en-GB"/>
              </w:rPr>
              <w:t>in</w:t>
            </w:r>
            <w:r>
              <w:rPr>
                <w:rFonts w:ascii="Times New Roman" w:hAnsi="Times New Roman"/>
                <w:szCs w:val="20"/>
                <w:lang w:val="en-GB"/>
              </w:rPr>
              <w:t xml:space="preserve"> #101</w:t>
            </w:r>
          </w:p>
          <w:p w14:paraId="04E6C0DE" w14:textId="77777777" w:rsidR="009B414E" w:rsidRDefault="001370AE">
            <w:pPr>
              <w:pStyle w:val="BoldComments"/>
              <w:ind w:firstLineChars="200" w:firstLine="400"/>
              <w:rPr>
                <w:rFonts w:ascii="Times New Roman" w:hAnsi="Times New Roman"/>
                <w:b w:val="0"/>
                <w:bCs/>
                <w:szCs w:val="20"/>
                <w:lang w:val="en-GB"/>
              </w:rPr>
            </w:pPr>
            <w:r>
              <w:rPr>
                <w:rFonts w:ascii="Times New Roman" w:hAnsi="Times New Roman"/>
                <w:b w:val="0"/>
                <w:bCs/>
                <w:szCs w:val="20"/>
                <w:lang w:val="en-GB"/>
              </w:rPr>
              <w:lastRenderedPageBreak/>
              <w:t xml:space="preserve">To be </w:t>
            </w:r>
            <w:r w:rsidRPr="00080C71">
              <w:rPr>
                <w:rFonts w:ascii="Times New Roman" w:hAnsi="Times New Roman"/>
                <w:b w:val="0"/>
                <w:bCs/>
                <w:szCs w:val="20"/>
                <w:lang w:val="en-US"/>
              </w:rPr>
              <w:t xml:space="preserve">Considered </w:t>
            </w:r>
            <w:r>
              <w:rPr>
                <w:rFonts w:ascii="Times New Roman" w:hAnsi="Times New Roman"/>
                <w:b w:val="0"/>
                <w:bCs/>
                <w:szCs w:val="20"/>
                <w:lang w:val="en-GB"/>
              </w:rPr>
              <w:t>Further</w:t>
            </w:r>
            <w:bookmarkEnd w:id="6"/>
          </w:p>
          <w:p w14:paraId="2381C1CB" w14:textId="77777777" w:rsidR="009B414E" w:rsidRDefault="009B414E">
            <w:pPr>
              <w:pStyle w:val="Doc-text2"/>
              <w:rPr>
                <w:rFonts w:ascii="Times New Roman" w:hAnsi="Times New Roman"/>
                <w:sz w:val="20"/>
                <w:szCs w:val="20"/>
              </w:rPr>
            </w:pPr>
          </w:p>
          <w:p w14:paraId="43F4449D" w14:textId="77777777" w:rsidR="009B414E" w:rsidRDefault="001370AE">
            <w:pPr>
              <w:pStyle w:val="Doc-text2"/>
              <w:rPr>
                <w:rFonts w:ascii="Times New Roman" w:hAnsi="Times New Roman"/>
                <w:sz w:val="20"/>
                <w:szCs w:val="20"/>
              </w:rPr>
            </w:pPr>
            <w:r>
              <w:rPr>
                <w:rFonts w:ascii="Times New Roman" w:hAnsi="Times New Roman"/>
                <w:sz w:val="20"/>
                <w:szCs w:val="20"/>
              </w:rPr>
              <w:t xml:space="preserve">FEC awareness at AS </w:t>
            </w:r>
          </w:p>
          <w:p w14:paraId="0CF919E6" w14:textId="77777777" w:rsidR="009B414E" w:rsidRDefault="001370AE">
            <w:pPr>
              <w:pStyle w:val="Agreement"/>
              <w:numPr>
                <w:ilvl w:val="0"/>
                <w:numId w:val="15"/>
              </w:numPr>
              <w:pBdr>
                <w:top w:val="none" w:sz="0" w:space="0" w:color="auto"/>
                <w:left w:val="none" w:sz="0" w:space="0" w:color="auto"/>
                <w:bottom w:val="none" w:sz="0" w:space="0" w:color="auto"/>
                <w:right w:val="none" w:sz="0" w:space="0" w:color="auto"/>
                <w:between w:val="none" w:sz="0" w:space="0" w:color="auto"/>
              </w:pBdr>
              <w:ind w:left="1619"/>
              <w:rPr>
                <w:rFonts w:ascii="Times New Roman" w:hAnsi="Times New Roman"/>
                <w:sz w:val="20"/>
                <w:szCs w:val="20"/>
              </w:rPr>
            </w:pPr>
            <w:r>
              <w:rPr>
                <w:rFonts w:ascii="Times New Roman" w:hAnsi="Times New Roman"/>
                <w:sz w:val="20"/>
                <w:szCs w:val="20"/>
              </w:rPr>
              <w:t xml:space="preserve">Dependent on SA2, SA4. Some support </w:t>
            </w:r>
          </w:p>
          <w:p w14:paraId="4B633E62" w14:textId="77777777" w:rsidR="009B414E" w:rsidRDefault="009B414E">
            <w:pPr>
              <w:pBdr>
                <w:top w:val="none" w:sz="0" w:space="0" w:color="auto"/>
                <w:left w:val="none" w:sz="0" w:space="0" w:color="auto"/>
                <w:bottom w:val="none" w:sz="0" w:space="0" w:color="auto"/>
                <w:right w:val="none" w:sz="0" w:space="0" w:color="auto"/>
                <w:between w:val="none" w:sz="0" w:space="0" w:color="auto"/>
              </w:pBdr>
              <w:rPr>
                <w:rFonts w:ascii="Times New Roman" w:hAnsi="Times New Roman"/>
              </w:rPr>
            </w:pPr>
          </w:p>
        </w:tc>
      </w:tr>
    </w:tbl>
    <w:p w14:paraId="40F2A190" w14:textId="77777777" w:rsidR="009B414E" w:rsidRDefault="009B414E">
      <w:pPr>
        <w:rPr>
          <w:rFonts w:ascii="Times New Roman" w:hAnsi="Times New Roman"/>
          <w:lang w:val="en-US"/>
        </w:rPr>
      </w:pPr>
    </w:p>
    <w:p w14:paraId="372CD74C" w14:textId="77777777" w:rsidR="009B414E" w:rsidRDefault="001370AE">
      <w:pPr>
        <w:rPr>
          <w:rFonts w:ascii="Times New Roman" w:hAnsi="Times New Roman"/>
          <w:b/>
          <w:bCs/>
          <w:lang w:val="en-US"/>
        </w:rPr>
      </w:pPr>
      <w:r>
        <w:rPr>
          <w:rFonts w:ascii="Times New Roman" w:hAnsi="Times New Roman"/>
          <w:b/>
          <w:bCs/>
          <w:lang w:val="en-US"/>
        </w:rPr>
        <w:t>Enhancements for XR Awareness [RAN2, RAN3]</w:t>
      </w:r>
    </w:p>
    <w:p w14:paraId="4E4C4B1C" w14:textId="08627B3B" w:rsidR="009B414E" w:rsidRDefault="001370AE">
      <w:pPr>
        <w:rPr>
          <w:rFonts w:ascii="Times New Roman" w:hAnsi="Times New Roman"/>
        </w:rPr>
      </w:pPr>
      <w:r>
        <w:rPr>
          <w:rFonts w:ascii="Times New Roman" w:hAnsi="Times New Roman"/>
        </w:rPr>
        <w:t xml:space="preserve">The concept of PDU set/data burst is introduced in SA2 in R18 as finer granularity to handle the XR service. To enable the PDU set/data burst-based operation, </w:t>
      </w:r>
      <w:r w:rsidR="005459A9">
        <w:rPr>
          <w:rFonts w:ascii="Times New Roman" w:hAnsi="Times New Roman"/>
        </w:rPr>
        <w:t>it is</w:t>
      </w:r>
      <w:r w:rsidR="005459A9">
        <w:rPr>
          <w:rFonts w:ascii="Times New Roman" w:hAnsi="Times New Roman" w:hint="eastAsia"/>
        </w:rPr>
        <w:t xml:space="preserve"> </w:t>
      </w:r>
      <w:r>
        <w:rPr>
          <w:rFonts w:ascii="Times New Roman" w:hAnsi="Times New Roman"/>
        </w:rPr>
        <w:t>conclude</w:t>
      </w:r>
      <w:r w:rsidR="005459A9">
        <w:rPr>
          <w:rFonts w:ascii="Times New Roman" w:hAnsi="Times New Roman"/>
        </w:rPr>
        <w:t>d in R18</w:t>
      </w:r>
      <w:r>
        <w:rPr>
          <w:rFonts w:ascii="Times New Roman" w:hAnsi="Times New Roman"/>
        </w:rPr>
        <w:t xml:space="preserve"> that the network and the UE need to identify the PDU set/data burst-related information. Also, the UE/SMF is responsible for providing XR assistance information to the </w:t>
      </w:r>
      <w:proofErr w:type="spellStart"/>
      <w:r>
        <w:rPr>
          <w:rFonts w:ascii="Times New Roman" w:hAnsi="Times New Roman"/>
        </w:rPr>
        <w:t>gNB</w:t>
      </w:r>
      <w:proofErr w:type="spellEnd"/>
      <w:r>
        <w:rPr>
          <w:rFonts w:ascii="Times New Roman" w:hAnsi="Times New Roman"/>
        </w:rPr>
        <w:t xml:space="preserve"> for the proper CG/power saving configuration. As no more information (except for FEC) is required for the XR service based on </w:t>
      </w:r>
      <w:r>
        <w:rPr>
          <w:rFonts w:ascii="Times New Roman" w:hAnsi="Times New Roman"/>
          <w:lang w:val="en-US"/>
        </w:rPr>
        <w:t>the SID of XRM ph2</w:t>
      </w:r>
      <w:r>
        <w:rPr>
          <w:rFonts w:ascii="Times New Roman" w:hAnsi="Times New Roman"/>
        </w:rPr>
        <w:t xml:space="preserve"> [2], we can only focus on the FEC-related information.</w:t>
      </w:r>
    </w:p>
    <w:p w14:paraId="19B1E76F" w14:textId="77777777" w:rsidR="00A2398D" w:rsidRDefault="00A2398D">
      <w:pPr>
        <w:rPr>
          <w:rFonts w:ascii="Times New Roman" w:hAnsi="Times New Roman"/>
        </w:rPr>
      </w:pPr>
    </w:p>
    <w:p w14:paraId="3CEA45A1" w14:textId="45B2F4AC" w:rsidR="009B414E" w:rsidRDefault="001370AE">
      <w:pPr>
        <w:pStyle w:val="Proposal"/>
      </w:pPr>
      <w:bookmarkStart w:id="7" w:name="_Toc152332502"/>
      <w:r>
        <w:t>R</w:t>
      </w:r>
      <w:bookmarkStart w:id="8" w:name="_Hlk151648620"/>
      <w:r>
        <w:t xml:space="preserve">19 XR work scope includes </w:t>
      </w:r>
      <w:bookmarkEnd w:id="8"/>
      <w:r>
        <w:t>the following R18 leftover [RAN2]</w:t>
      </w:r>
      <w:bookmarkEnd w:id="7"/>
    </w:p>
    <w:p w14:paraId="1FC7BA92" w14:textId="2DB5257B" w:rsidR="00A2398D" w:rsidRDefault="001370AE" w:rsidP="00FD306F">
      <w:pPr>
        <w:pStyle w:val="Proposal"/>
        <w:numPr>
          <w:ilvl w:val="0"/>
          <w:numId w:val="16"/>
        </w:numPr>
        <w:rPr>
          <w:lang w:val="en-US"/>
        </w:rPr>
      </w:pPr>
      <w:bookmarkStart w:id="9" w:name="_Toc152332503"/>
      <w:r>
        <w:rPr>
          <w:lang w:val="en-US"/>
        </w:rPr>
        <w:t>FEC-based PDU Set discarding</w:t>
      </w:r>
      <w:bookmarkEnd w:id="9"/>
    </w:p>
    <w:p w14:paraId="384909E7" w14:textId="77777777" w:rsidR="009B414E" w:rsidRDefault="009B414E">
      <w:pPr>
        <w:rPr>
          <w:rFonts w:ascii="Times New Roman" w:hAnsi="Times New Roman"/>
        </w:rPr>
      </w:pPr>
    </w:p>
    <w:p w14:paraId="650DC620" w14:textId="77777777" w:rsidR="009B414E" w:rsidRDefault="001370AE">
      <w:pPr>
        <w:pStyle w:val="20"/>
        <w:rPr>
          <w:rFonts w:ascii="Times New Roman" w:hAnsi="Times New Roman"/>
          <w:lang w:val="en-US"/>
        </w:rPr>
      </w:pPr>
      <w:r>
        <w:rPr>
          <w:rFonts w:ascii="Times New Roman" w:hAnsi="Times New Roman"/>
          <w:lang w:val="en-US"/>
        </w:rPr>
        <w:t>R19 new area</w:t>
      </w:r>
    </w:p>
    <w:p w14:paraId="5C7696FC" w14:textId="2451B922" w:rsidR="009B414E" w:rsidRDefault="001370AE">
      <w:pPr>
        <w:rPr>
          <w:rFonts w:ascii="Times New Roman" w:hAnsi="Times New Roman"/>
          <w:lang w:val="en-US"/>
        </w:rPr>
      </w:pPr>
      <w:r>
        <w:rPr>
          <w:rFonts w:ascii="Times New Roman" w:hAnsi="Times New Roman" w:hint="eastAsia"/>
          <w:lang w:val="en-US"/>
        </w:rPr>
        <w:t>I</w:t>
      </w:r>
      <w:r>
        <w:rPr>
          <w:rFonts w:ascii="Times New Roman" w:hAnsi="Times New Roman"/>
          <w:lang w:val="en-US"/>
        </w:rPr>
        <w:t xml:space="preserve">n TS 22.261, there are </w:t>
      </w:r>
      <w:r w:rsidR="00CE791D">
        <w:rPr>
          <w:rFonts w:ascii="Times New Roman" w:hAnsi="Times New Roman"/>
          <w:lang w:val="en-US"/>
        </w:rPr>
        <w:t>requirements</w:t>
      </w:r>
      <w:r>
        <w:rPr>
          <w:rFonts w:ascii="Times New Roman" w:hAnsi="Times New Roman"/>
          <w:lang w:val="en-US"/>
        </w:rPr>
        <w:t xml:space="preserve"> to support coordinated transmission for multi-modality flows. In some cases, these multiple types of flows, e.g. video/audio stream, and haptic or sensor data for </w:t>
      </w:r>
      <w:r w:rsidR="00CE791D">
        <w:rPr>
          <w:rFonts w:ascii="Times New Roman" w:hAnsi="Times New Roman"/>
          <w:lang w:val="en-US"/>
        </w:rPr>
        <w:t xml:space="preserve">a </w:t>
      </w:r>
      <w:r>
        <w:rPr>
          <w:rFonts w:ascii="Times New Roman" w:hAnsi="Times New Roman"/>
          <w:lang w:val="en-US"/>
        </w:rPr>
        <w:t xml:space="preserve">more immersive experience are linked with/located at a single UE. In other cases, such multiple types of flows are associated with multiple UEs. </w:t>
      </w:r>
    </w:p>
    <w:p w14:paraId="4C8B27D3" w14:textId="77777777" w:rsidR="009B414E" w:rsidRDefault="001370AE">
      <w:pPr>
        <w:jc w:val="center"/>
      </w:pPr>
      <w:r>
        <w:rPr>
          <w:noProof/>
          <w:lang w:val="en-US"/>
        </w:rPr>
        <w:drawing>
          <wp:inline distT="0" distB="0" distL="0" distR="0" wp14:anchorId="6BD81179" wp14:editId="5B234305">
            <wp:extent cx="5054600" cy="221678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5059463" cy="2219256"/>
                    </a:xfrm>
                    <a:prstGeom prst="rect">
                      <a:avLst/>
                    </a:prstGeom>
                    <a:noFill/>
                    <a:ln>
                      <a:noFill/>
                    </a:ln>
                  </pic:spPr>
                </pic:pic>
              </a:graphicData>
            </a:graphic>
          </wp:inline>
        </w:drawing>
      </w:r>
    </w:p>
    <w:p w14:paraId="1183A12C" w14:textId="77777777" w:rsidR="009B414E" w:rsidRDefault="001370AE">
      <w:pPr>
        <w:keepLines/>
        <w:spacing w:after="240"/>
        <w:jc w:val="center"/>
        <w:rPr>
          <w:b/>
          <w:lang w:val="en-US"/>
        </w:rPr>
      </w:pPr>
      <w:r>
        <w:rPr>
          <w:b/>
          <w:lang w:val="en-US"/>
        </w:rPr>
        <w:t>Figure 1. Multi-modal interactive system (in TS 22.261)</w:t>
      </w:r>
    </w:p>
    <w:p w14:paraId="01CACE75" w14:textId="6CA7934A" w:rsidR="009B414E" w:rsidRDefault="001370AE">
      <w:pPr>
        <w:rPr>
          <w:rFonts w:ascii="Times New Roman" w:hAnsi="Times New Roman"/>
          <w:lang w:val="en-US"/>
        </w:rPr>
      </w:pPr>
      <w:r>
        <w:rPr>
          <w:rFonts w:ascii="Times New Roman" w:hAnsi="Times New Roman"/>
          <w:lang w:val="en-US"/>
        </w:rPr>
        <w:t xml:space="preserve">As described in TS 22.261, immersive multi-modal VR applications have critical synchronization </w:t>
      </w:r>
      <w:r w:rsidR="00CE791D">
        <w:rPr>
          <w:rFonts w:ascii="Times New Roman" w:hAnsi="Times New Roman"/>
          <w:lang w:val="en-US"/>
        </w:rPr>
        <w:t>requirements</w:t>
      </w:r>
      <w:r>
        <w:rPr>
          <w:rFonts w:ascii="Times New Roman" w:hAnsi="Times New Roman"/>
          <w:lang w:val="en-US"/>
        </w:rPr>
        <w:t xml:space="preserve"> between different media components, in order to avoid having a negative impact on the user experience. The table below shows an example of synchronization </w:t>
      </w:r>
      <w:r w:rsidR="00CE791D">
        <w:rPr>
          <w:rFonts w:ascii="Times New Roman" w:hAnsi="Times New Roman"/>
          <w:lang w:val="en-US"/>
        </w:rPr>
        <w:t>requirements</w:t>
      </w:r>
      <w:r>
        <w:rPr>
          <w:rFonts w:ascii="Times New Roman" w:hAnsi="Times New Roman"/>
          <w:lang w:val="en-US"/>
        </w:rPr>
        <w:t>.</w:t>
      </w:r>
    </w:p>
    <w:p w14:paraId="5C5F1E31" w14:textId="77777777" w:rsidR="009B414E" w:rsidRDefault="001370AE">
      <w:pPr>
        <w:keepNext/>
        <w:keepLines/>
        <w:spacing w:before="60"/>
        <w:jc w:val="center"/>
        <w:rPr>
          <w:b/>
        </w:rPr>
      </w:pPr>
      <w:r>
        <w:rPr>
          <w:rFonts w:eastAsia="等线"/>
          <w:b/>
        </w:rPr>
        <w:t xml:space="preserve">Table 1: Typical </w:t>
      </w:r>
      <w:bookmarkStart w:id="10" w:name="_Hlk87540359"/>
      <w:r>
        <w:rPr>
          <w:rFonts w:eastAsia="等线"/>
          <w:b/>
        </w:rPr>
        <w:t xml:space="preserve">synchronization thresholds </w:t>
      </w:r>
      <w:bookmarkEnd w:id="10"/>
      <w:r>
        <w:rPr>
          <w:rFonts w:eastAsia="等线"/>
          <w:b/>
        </w:rPr>
        <w:t xml:space="preserve">for immersive multi-modality VR applications </w:t>
      </w:r>
      <w:r>
        <w:rPr>
          <w:b/>
          <w:lang w:val="en-US"/>
        </w:rPr>
        <w:t>(in TS 22.261)</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2693"/>
        <w:gridCol w:w="2835"/>
      </w:tblGrid>
      <w:tr w:rsidR="009B414E" w14:paraId="1CFF36DA" w14:textId="77777777">
        <w:tc>
          <w:tcPr>
            <w:tcW w:w="2410" w:type="dxa"/>
            <w:shd w:val="clear" w:color="auto" w:fill="auto"/>
          </w:tcPr>
          <w:p w14:paraId="481626C7" w14:textId="77777777" w:rsidR="009B414E" w:rsidRDefault="001370AE">
            <w:pPr>
              <w:snapToGrid w:val="0"/>
              <w:spacing w:after="0"/>
              <w:rPr>
                <w:rFonts w:eastAsia="仿宋"/>
                <w:b/>
                <w:lang w:val="en-US"/>
              </w:rPr>
            </w:pPr>
            <w:r>
              <w:rPr>
                <w:rFonts w:eastAsia="仿宋"/>
                <w:b/>
                <w:lang w:val="en-US"/>
              </w:rPr>
              <w:t>Media components</w:t>
            </w:r>
          </w:p>
        </w:tc>
        <w:tc>
          <w:tcPr>
            <w:tcW w:w="5528" w:type="dxa"/>
            <w:gridSpan w:val="2"/>
            <w:shd w:val="clear" w:color="auto" w:fill="auto"/>
          </w:tcPr>
          <w:p w14:paraId="14DA7D22" w14:textId="77777777" w:rsidR="009B414E" w:rsidRDefault="001370AE">
            <w:pPr>
              <w:snapToGrid w:val="0"/>
              <w:spacing w:after="0"/>
              <w:rPr>
                <w:rFonts w:eastAsia="仿宋"/>
                <w:b/>
                <w:lang w:val="en-US"/>
              </w:rPr>
            </w:pPr>
            <w:r>
              <w:rPr>
                <w:rFonts w:eastAsia="仿宋"/>
                <w:b/>
                <w:lang w:val="en-US"/>
              </w:rPr>
              <w:t>synchronization threshold (note 1)</w:t>
            </w:r>
          </w:p>
        </w:tc>
      </w:tr>
      <w:tr w:rsidR="009B414E" w14:paraId="38FFB51F" w14:textId="77777777">
        <w:tc>
          <w:tcPr>
            <w:tcW w:w="2410" w:type="dxa"/>
            <w:shd w:val="clear" w:color="auto" w:fill="auto"/>
          </w:tcPr>
          <w:p w14:paraId="05E81733" w14:textId="77777777" w:rsidR="009B414E" w:rsidRDefault="001370AE">
            <w:pPr>
              <w:snapToGrid w:val="0"/>
              <w:spacing w:after="0"/>
              <w:rPr>
                <w:rFonts w:eastAsia="仿宋"/>
                <w:b/>
                <w:lang w:val="en-US"/>
              </w:rPr>
            </w:pPr>
            <w:r>
              <w:rPr>
                <w:rFonts w:eastAsia="仿宋"/>
                <w:b/>
                <w:lang w:val="en-US"/>
              </w:rPr>
              <w:t>audio-tactile</w:t>
            </w:r>
          </w:p>
        </w:tc>
        <w:tc>
          <w:tcPr>
            <w:tcW w:w="2693" w:type="dxa"/>
            <w:shd w:val="clear" w:color="auto" w:fill="auto"/>
          </w:tcPr>
          <w:p w14:paraId="33CEB660" w14:textId="77777777" w:rsidR="009B414E" w:rsidRDefault="001370AE">
            <w:pPr>
              <w:snapToGrid w:val="0"/>
              <w:spacing w:after="0"/>
              <w:rPr>
                <w:rFonts w:eastAsia="仿宋"/>
                <w:lang w:val="en-US"/>
              </w:rPr>
            </w:pPr>
            <w:r>
              <w:rPr>
                <w:rFonts w:eastAsia="仿宋"/>
                <w:lang w:val="en-US"/>
              </w:rPr>
              <w:t>audio delay:</w:t>
            </w:r>
          </w:p>
          <w:p w14:paraId="1C375938" w14:textId="77777777" w:rsidR="009B414E" w:rsidRDefault="001370AE">
            <w:pPr>
              <w:snapToGrid w:val="0"/>
              <w:spacing w:after="0"/>
              <w:rPr>
                <w:rFonts w:eastAsia="仿宋"/>
                <w:lang w:val="en-US"/>
              </w:rPr>
            </w:pPr>
            <w:r>
              <w:rPr>
                <w:rFonts w:eastAsia="仿宋"/>
                <w:lang w:val="en-US"/>
              </w:rPr>
              <w:t xml:space="preserve">50 </w:t>
            </w:r>
            <w:proofErr w:type="spellStart"/>
            <w:r>
              <w:rPr>
                <w:rFonts w:eastAsia="仿宋"/>
                <w:lang w:val="en-US"/>
              </w:rPr>
              <w:t>ms</w:t>
            </w:r>
            <w:proofErr w:type="spellEnd"/>
          </w:p>
        </w:tc>
        <w:tc>
          <w:tcPr>
            <w:tcW w:w="2835" w:type="dxa"/>
            <w:shd w:val="clear" w:color="auto" w:fill="auto"/>
          </w:tcPr>
          <w:p w14:paraId="126672BE" w14:textId="77777777" w:rsidR="009B414E" w:rsidRDefault="001370AE">
            <w:pPr>
              <w:snapToGrid w:val="0"/>
              <w:spacing w:after="0"/>
              <w:rPr>
                <w:rFonts w:eastAsia="仿宋"/>
                <w:lang w:val="en-US"/>
              </w:rPr>
            </w:pPr>
            <w:r>
              <w:rPr>
                <w:rFonts w:eastAsia="仿宋"/>
                <w:lang w:val="en-US"/>
              </w:rPr>
              <w:t>tactile delay:</w:t>
            </w:r>
          </w:p>
          <w:p w14:paraId="7F4C9BBE" w14:textId="77777777" w:rsidR="009B414E" w:rsidRDefault="001370AE">
            <w:pPr>
              <w:snapToGrid w:val="0"/>
              <w:spacing w:after="0"/>
              <w:rPr>
                <w:rFonts w:eastAsia="仿宋"/>
                <w:lang w:val="en-US"/>
              </w:rPr>
            </w:pPr>
            <w:r>
              <w:rPr>
                <w:rFonts w:eastAsia="仿宋"/>
                <w:lang w:val="en-US"/>
              </w:rPr>
              <w:t xml:space="preserve">25 </w:t>
            </w:r>
            <w:proofErr w:type="spellStart"/>
            <w:r>
              <w:rPr>
                <w:rFonts w:eastAsia="仿宋"/>
                <w:lang w:val="en-US"/>
              </w:rPr>
              <w:t>ms</w:t>
            </w:r>
            <w:proofErr w:type="spellEnd"/>
          </w:p>
        </w:tc>
      </w:tr>
      <w:tr w:rsidR="009B414E" w14:paraId="33F34E86" w14:textId="77777777">
        <w:tc>
          <w:tcPr>
            <w:tcW w:w="2410" w:type="dxa"/>
            <w:shd w:val="clear" w:color="auto" w:fill="auto"/>
          </w:tcPr>
          <w:p w14:paraId="44D42BB8" w14:textId="77777777" w:rsidR="009B414E" w:rsidRDefault="001370AE">
            <w:pPr>
              <w:snapToGrid w:val="0"/>
              <w:spacing w:after="0"/>
              <w:rPr>
                <w:rFonts w:eastAsia="仿宋"/>
                <w:b/>
                <w:lang w:val="en-US"/>
              </w:rPr>
            </w:pPr>
            <w:r>
              <w:rPr>
                <w:rFonts w:eastAsia="仿宋"/>
                <w:b/>
                <w:lang w:val="en-US"/>
              </w:rPr>
              <w:t>visual-tactile</w:t>
            </w:r>
          </w:p>
        </w:tc>
        <w:tc>
          <w:tcPr>
            <w:tcW w:w="2693" w:type="dxa"/>
            <w:shd w:val="clear" w:color="auto" w:fill="auto"/>
          </w:tcPr>
          <w:p w14:paraId="1A9E1A4C" w14:textId="77777777" w:rsidR="009B414E" w:rsidRDefault="001370AE">
            <w:pPr>
              <w:snapToGrid w:val="0"/>
              <w:spacing w:after="0"/>
              <w:rPr>
                <w:rFonts w:eastAsia="仿宋"/>
                <w:lang w:val="en-US"/>
              </w:rPr>
            </w:pPr>
            <w:r>
              <w:rPr>
                <w:rFonts w:eastAsia="仿宋"/>
                <w:lang w:val="en-US"/>
              </w:rPr>
              <w:t>visual delay:</w:t>
            </w:r>
          </w:p>
          <w:p w14:paraId="3E639107" w14:textId="77777777" w:rsidR="009B414E" w:rsidRDefault="001370AE">
            <w:pPr>
              <w:snapToGrid w:val="0"/>
              <w:spacing w:after="0"/>
              <w:rPr>
                <w:rFonts w:eastAsia="仿宋"/>
                <w:lang w:val="en-US"/>
              </w:rPr>
            </w:pPr>
            <w:r>
              <w:rPr>
                <w:rFonts w:eastAsia="仿宋"/>
                <w:lang w:val="en-US"/>
              </w:rPr>
              <w:t xml:space="preserve">15 </w:t>
            </w:r>
            <w:proofErr w:type="spellStart"/>
            <w:r>
              <w:rPr>
                <w:rFonts w:eastAsia="仿宋"/>
                <w:lang w:val="en-US"/>
              </w:rPr>
              <w:t>ms</w:t>
            </w:r>
            <w:proofErr w:type="spellEnd"/>
          </w:p>
        </w:tc>
        <w:tc>
          <w:tcPr>
            <w:tcW w:w="2835" w:type="dxa"/>
            <w:shd w:val="clear" w:color="auto" w:fill="auto"/>
          </w:tcPr>
          <w:p w14:paraId="0CBF94F5" w14:textId="77777777" w:rsidR="009B414E" w:rsidRDefault="001370AE">
            <w:pPr>
              <w:snapToGrid w:val="0"/>
              <w:spacing w:after="0"/>
              <w:rPr>
                <w:rFonts w:eastAsia="仿宋"/>
                <w:lang w:val="en-US"/>
              </w:rPr>
            </w:pPr>
            <w:r>
              <w:rPr>
                <w:rFonts w:eastAsia="仿宋"/>
                <w:lang w:val="en-US"/>
              </w:rPr>
              <w:t>tactile delay:</w:t>
            </w:r>
          </w:p>
          <w:p w14:paraId="2CC2458F" w14:textId="77777777" w:rsidR="009B414E" w:rsidRDefault="001370AE">
            <w:pPr>
              <w:snapToGrid w:val="0"/>
              <w:spacing w:after="0"/>
              <w:rPr>
                <w:rFonts w:eastAsia="仿宋"/>
                <w:lang w:val="en-US"/>
              </w:rPr>
            </w:pPr>
            <w:r>
              <w:rPr>
                <w:rFonts w:eastAsia="仿宋"/>
                <w:lang w:val="en-US"/>
              </w:rPr>
              <w:t xml:space="preserve">50 </w:t>
            </w:r>
            <w:proofErr w:type="spellStart"/>
            <w:r>
              <w:rPr>
                <w:rFonts w:eastAsia="仿宋"/>
                <w:lang w:val="en-US"/>
              </w:rPr>
              <w:t>ms</w:t>
            </w:r>
            <w:proofErr w:type="spellEnd"/>
          </w:p>
        </w:tc>
      </w:tr>
      <w:tr w:rsidR="009B414E" w14:paraId="7579BA74" w14:textId="77777777">
        <w:tc>
          <w:tcPr>
            <w:tcW w:w="7938" w:type="dxa"/>
            <w:gridSpan w:val="3"/>
            <w:shd w:val="clear" w:color="auto" w:fill="auto"/>
          </w:tcPr>
          <w:p w14:paraId="181840C6" w14:textId="77777777" w:rsidR="009B414E" w:rsidRDefault="001370AE">
            <w:pPr>
              <w:keepNext/>
              <w:keepLines/>
              <w:spacing w:after="0"/>
              <w:ind w:left="851" w:hanging="851"/>
              <w:rPr>
                <w:rFonts w:eastAsia="等线"/>
                <w:sz w:val="18"/>
                <w:lang w:val="en-US"/>
              </w:rPr>
            </w:pPr>
            <w:r>
              <w:rPr>
                <w:rFonts w:eastAsia="等线"/>
                <w:sz w:val="18"/>
                <w:lang w:val="en-US"/>
              </w:rPr>
              <w:t>NOTE 1:  for each media component, “delay” refers to the case where that media component is delayed compared to the other.</w:t>
            </w:r>
          </w:p>
        </w:tc>
      </w:tr>
    </w:tbl>
    <w:p w14:paraId="59F2DBC4" w14:textId="77777777" w:rsidR="009B414E" w:rsidRDefault="009B414E">
      <w:pPr>
        <w:rPr>
          <w:rFonts w:ascii="Times New Roman" w:hAnsi="Times New Roman"/>
        </w:rPr>
      </w:pPr>
    </w:p>
    <w:p w14:paraId="54E5D022" w14:textId="77777777" w:rsidR="009B414E" w:rsidRDefault="001370AE">
      <w:pPr>
        <w:rPr>
          <w:rFonts w:ascii="Times New Roman" w:hAnsi="Times New Roman"/>
          <w:lang w:val="en-US"/>
        </w:rPr>
      </w:pPr>
      <w:r>
        <w:rPr>
          <w:rFonts w:ascii="Times New Roman" w:hAnsi="Times New Roman"/>
          <w:lang w:val="en-US"/>
        </w:rPr>
        <w:lastRenderedPageBreak/>
        <w:t xml:space="preserve">To support the requirement of coordinated transmission for </w:t>
      </w:r>
      <w:bookmarkStart w:id="11" w:name="_Hlk144305934"/>
      <w:r>
        <w:rPr>
          <w:rFonts w:ascii="Times New Roman" w:hAnsi="Times New Roman"/>
          <w:lang w:val="en-US"/>
        </w:rPr>
        <w:t>multi-modality</w:t>
      </w:r>
      <w:bookmarkEnd w:id="11"/>
      <w:r>
        <w:rPr>
          <w:rFonts w:ascii="Times New Roman" w:hAnsi="Times New Roman"/>
          <w:lang w:val="en-US"/>
        </w:rPr>
        <w:t xml:space="preserve"> flows, R18 SA2 targets the following objectives.</w:t>
      </w:r>
    </w:p>
    <w:tbl>
      <w:tblPr>
        <w:tblStyle w:val="aff0"/>
        <w:tblW w:w="0" w:type="auto"/>
        <w:tblLook w:val="04A0" w:firstRow="1" w:lastRow="0" w:firstColumn="1" w:lastColumn="0" w:noHBand="0" w:noVBand="1"/>
      </w:tblPr>
      <w:tblGrid>
        <w:gridCol w:w="9629"/>
      </w:tblGrid>
      <w:tr w:rsidR="009B414E" w14:paraId="029C7517" w14:textId="77777777">
        <w:tc>
          <w:tcPr>
            <w:tcW w:w="9629" w:type="dxa"/>
          </w:tcPr>
          <w:p w14:paraId="0F6E91B4" w14:textId="77777777" w:rsidR="009B414E" w:rsidRDefault="001370AE">
            <w:pPr>
              <w:pStyle w:val="B1"/>
              <w:rPr>
                <w:rFonts w:ascii="Times New Roman" w:eastAsia="等线" w:hAnsi="Times New Roman"/>
                <w:i/>
                <w:iCs/>
                <w:lang w:eastAsia="zh-CN"/>
              </w:rPr>
            </w:pPr>
            <w:r>
              <w:rPr>
                <w:rFonts w:ascii="Times New Roman" w:hAnsi="Times New Roman"/>
                <w:i/>
                <w:iCs/>
              </w:rPr>
              <w:t xml:space="preserve">#1) </w:t>
            </w:r>
            <w:r>
              <w:rPr>
                <w:rFonts w:ascii="Times New Roman" w:eastAsia="等线" w:hAnsi="Times New Roman"/>
                <w:i/>
                <w:iCs/>
                <w:lang w:eastAsia="zh-CN"/>
              </w:rPr>
              <w:t>Support of p</w:t>
            </w:r>
            <w:r>
              <w:rPr>
                <w:rFonts w:ascii="Times New Roman" w:hAnsi="Times New Roman"/>
                <w:i/>
                <w:iCs/>
              </w:rPr>
              <w:t>olicy control enhancements to support multi-modality flows for single UE</w:t>
            </w:r>
            <w:r>
              <w:rPr>
                <w:rFonts w:ascii="Times New Roman" w:eastAsia="等线" w:hAnsi="Times New Roman"/>
                <w:i/>
                <w:iCs/>
                <w:lang w:eastAsia="zh-CN"/>
              </w:rPr>
              <w:t>, based on AF provisioned information.</w:t>
            </w:r>
          </w:p>
          <w:p w14:paraId="1FD868B4" w14:textId="77777777" w:rsidR="009B414E" w:rsidRDefault="001370AE">
            <w:pPr>
              <w:pStyle w:val="B1"/>
              <w:rPr>
                <w:rFonts w:ascii="Times New Roman" w:eastAsia="等线" w:hAnsi="Times New Roman"/>
                <w:i/>
                <w:iCs/>
                <w:lang w:eastAsia="zh-CN"/>
              </w:rPr>
            </w:pPr>
            <w:r>
              <w:rPr>
                <w:rFonts w:ascii="Times New Roman" w:hAnsi="Times New Roman"/>
                <w:i/>
                <w:iCs/>
              </w:rPr>
              <w:t xml:space="preserve">#2) </w:t>
            </w:r>
            <w:r>
              <w:rPr>
                <w:rFonts w:ascii="Times New Roman" w:eastAsia="等线" w:hAnsi="Times New Roman"/>
                <w:i/>
                <w:iCs/>
                <w:lang w:eastAsia="zh-CN"/>
              </w:rPr>
              <w:t>Support of p</w:t>
            </w:r>
            <w:r>
              <w:rPr>
                <w:rFonts w:ascii="Times New Roman" w:hAnsi="Times New Roman"/>
                <w:i/>
                <w:iCs/>
              </w:rPr>
              <w:t xml:space="preserve">olicy control enhancements to support multi-modality flows for </w:t>
            </w:r>
            <w:r>
              <w:rPr>
                <w:rFonts w:ascii="Times New Roman" w:eastAsia="等线" w:hAnsi="Times New Roman"/>
                <w:i/>
                <w:iCs/>
                <w:lang w:eastAsia="zh-CN"/>
              </w:rPr>
              <w:t>m</w:t>
            </w:r>
            <w:r>
              <w:rPr>
                <w:rFonts w:ascii="Times New Roman" w:hAnsi="Times New Roman"/>
                <w:i/>
                <w:iCs/>
              </w:rPr>
              <w:t>ultiple UEs</w:t>
            </w:r>
            <w:r>
              <w:rPr>
                <w:rFonts w:ascii="Times New Roman" w:eastAsia="等线" w:hAnsi="Times New Roman"/>
                <w:i/>
                <w:iCs/>
                <w:lang w:eastAsia="zh-CN"/>
              </w:rPr>
              <w:t>.</w:t>
            </w:r>
            <w:r>
              <w:rPr>
                <w:rFonts w:ascii="Times New Roman" w:eastAsia="等线" w:hAnsi="Times New Roman"/>
                <w:i/>
                <w:iCs/>
              </w:rPr>
              <w:t xml:space="preserve"> </w:t>
            </w:r>
          </w:p>
          <w:p w14:paraId="4C3591B7" w14:textId="77777777" w:rsidR="009B414E" w:rsidRDefault="001370AE">
            <w:pPr>
              <w:pStyle w:val="B2"/>
              <w:rPr>
                <w:rFonts w:ascii="Times New Roman" w:hAnsi="Times New Roman"/>
                <w:i/>
                <w:iCs/>
                <w:lang w:eastAsia="zh-CN"/>
              </w:rPr>
            </w:pPr>
            <w:r>
              <w:rPr>
                <w:rFonts w:ascii="Times New Roman" w:hAnsi="Times New Roman"/>
                <w:i/>
                <w:iCs/>
              </w:rPr>
              <w:t>-</w:t>
            </w:r>
            <w:r>
              <w:rPr>
                <w:rFonts w:ascii="Times New Roman" w:hAnsi="Times New Roman"/>
                <w:i/>
                <w:iCs/>
              </w:rPr>
              <w:tab/>
            </w:r>
            <w:r>
              <w:rPr>
                <w:rFonts w:ascii="Times New Roman" w:hAnsi="Times New Roman"/>
                <w:i/>
                <w:iCs/>
                <w:lang w:eastAsia="zh-CN"/>
              </w:rPr>
              <w:t xml:space="preserve">AF </w:t>
            </w:r>
            <w:r>
              <w:rPr>
                <w:rFonts w:ascii="Times New Roman" w:eastAsia="等线" w:hAnsi="Times New Roman"/>
                <w:i/>
                <w:iCs/>
                <w:lang w:eastAsia="zh-CN"/>
              </w:rPr>
              <w:t>may</w:t>
            </w:r>
            <w:r>
              <w:rPr>
                <w:rFonts w:ascii="Times New Roman" w:hAnsi="Times New Roman"/>
                <w:i/>
                <w:iCs/>
                <w:lang w:eastAsia="zh-CN"/>
              </w:rPr>
              <w:t xml:space="preserve"> indicate the multiple flows belong to the same multi-modal service for multiple UEs.</w:t>
            </w:r>
          </w:p>
          <w:p w14:paraId="3E23E888" w14:textId="77777777" w:rsidR="009B414E" w:rsidRDefault="001370AE">
            <w:pPr>
              <w:pStyle w:val="B2"/>
              <w:rPr>
                <w:lang w:eastAsia="zh-CN"/>
              </w:rPr>
            </w:pPr>
            <w:r>
              <w:rPr>
                <w:rFonts w:ascii="Times New Roman" w:hAnsi="Times New Roman"/>
                <w:i/>
                <w:iCs/>
                <w:lang w:eastAsia="zh-CN"/>
              </w:rPr>
              <w:t>-</w:t>
            </w:r>
            <w:r>
              <w:rPr>
                <w:rFonts w:ascii="Times New Roman" w:hAnsi="Times New Roman"/>
                <w:i/>
                <w:iCs/>
                <w:lang w:eastAsia="zh-CN"/>
              </w:rPr>
              <w:tab/>
            </w:r>
            <w:r>
              <w:rPr>
                <w:rFonts w:ascii="Times New Roman" w:eastAsia="等线" w:hAnsi="Times New Roman"/>
                <w:i/>
                <w:iCs/>
              </w:rPr>
              <w:t>PCF</w:t>
            </w:r>
            <w:r>
              <w:rPr>
                <w:rFonts w:ascii="Times New Roman" w:eastAsia="等线" w:hAnsi="Times New Roman"/>
                <w:i/>
                <w:iCs/>
                <w:lang w:eastAsia="zh-CN"/>
              </w:rPr>
              <w:t xml:space="preserve"> generates related policies for each of the multiple UEs.</w:t>
            </w:r>
            <w:r>
              <w:rPr>
                <w:rFonts w:ascii="Times New Roman" w:eastAsia="等线" w:hAnsi="Times New Roman"/>
                <w:i/>
                <w:iCs/>
              </w:rPr>
              <w:t xml:space="preserve"> </w:t>
            </w:r>
          </w:p>
        </w:tc>
      </w:tr>
    </w:tbl>
    <w:p w14:paraId="47449200" w14:textId="77777777" w:rsidR="009B414E" w:rsidRDefault="009B414E">
      <w:pPr>
        <w:rPr>
          <w:rFonts w:ascii="Times New Roman" w:hAnsi="Times New Roman"/>
        </w:rPr>
      </w:pPr>
    </w:p>
    <w:p w14:paraId="2CA1EF02" w14:textId="3B09FCCF" w:rsidR="009B414E" w:rsidRDefault="00175360">
      <w:pPr>
        <w:rPr>
          <w:rFonts w:ascii="Times New Roman" w:hAnsi="Times New Roman"/>
          <w:lang w:val="en-US"/>
        </w:rPr>
      </w:pPr>
      <w:r>
        <w:rPr>
          <w:rFonts w:ascii="Times New Roman" w:hAnsi="Times New Roman"/>
        </w:rPr>
        <w:t xml:space="preserve">In R18, </w:t>
      </w:r>
      <w:r w:rsidR="001370AE">
        <w:rPr>
          <w:rFonts w:ascii="Times New Roman" w:hAnsi="Times New Roman"/>
        </w:rPr>
        <w:t xml:space="preserve">SA2 </w:t>
      </w:r>
      <w:r w:rsidR="005459A9">
        <w:rPr>
          <w:rFonts w:ascii="Times New Roman" w:hAnsi="Times New Roman"/>
        </w:rPr>
        <w:t xml:space="preserve">has </w:t>
      </w:r>
      <w:r w:rsidR="001370AE">
        <w:rPr>
          <w:rFonts w:ascii="Times New Roman" w:hAnsi="Times New Roman"/>
        </w:rPr>
        <w:t>conclude</w:t>
      </w:r>
      <w:r w:rsidR="005459A9">
        <w:rPr>
          <w:rFonts w:ascii="Times New Roman" w:hAnsi="Times New Roman"/>
        </w:rPr>
        <w:t>d that</w:t>
      </w:r>
      <w:r w:rsidR="001370AE">
        <w:rPr>
          <w:rFonts w:ascii="Times New Roman" w:hAnsi="Times New Roman"/>
        </w:rPr>
        <w:t xml:space="preserve"> t</w:t>
      </w:r>
      <w:r w:rsidR="00546620">
        <w:rPr>
          <w:rFonts w:ascii="Times New Roman" w:hAnsi="Times New Roman"/>
        </w:rPr>
        <w:t>he</w:t>
      </w:r>
      <w:r w:rsidR="001370AE">
        <w:rPr>
          <w:rFonts w:ascii="Times New Roman" w:hAnsi="Times New Roman"/>
        </w:rPr>
        <w:t xml:space="preserve"> QoS policies</w:t>
      </w:r>
      <w:r w:rsidR="005459A9">
        <w:rPr>
          <w:rFonts w:ascii="Times New Roman" w:hAnsi="Times New Roman"/>
        </w:rPr>
        <w:t xml:space="preserve"> are enhanced</w:t>
      </w:r>
      <w:r w:rsidR="001370AE">
        <w:rPr>
          <w:rFonts w:ascii="Times New Roman" w:hAnsi="Times New Roman"/>
        </w:rPr>
        <w:t xml:space="preserve"> </w:t>
      </w:r>
      <w:r w:rsidR="001370AE">
        <w:rPr>
          <w:rFonts w:ascii="Times New Roman" w:hAnsi="Times New Roman"/>
          <w:lang w:val="en-US"/>
        </w:rPr>
        <w:t xml:space="preserve">to implicitly implement the coordination/sync </w:t>
      </w:r>
      <w:r w:rsidR="00C07297">
        <w:rPr>
          <w:rFonts w:ascii="Times New Roman" w:hAnsi="Times New Roman" w:hint="eastAsia"/>
          <w:lang w:val="en-US"/>
        </w:rPr>
        <w:t>among</w:t>
      </w:r>
      <w:r w:rsidR="001370AE">
        <w:rPr>
          <w:rFonts w:ascii="Times New Roman" w:hAnsi="Times New Roman"/>
          <w:lang w:val="en-US"/>
        </w:rPr>
        <w:t xml:space="preserve"> QoS flows of </w:t>
      </w:r>
      <w:r w:rsidR="00C07297">
        <w:rPr>
          <w:rFonts w:ascii="Times New Roman" w:hAnsi="Times New Roman" w:hint="eastAsia"/>
          <w:lang w:val="en-US"/>
        </w:rPr>
        <w:t>one</w:t>
      </w:r>
      <w:r w:rsidR="00C07297">
        <w:rPr>
          <w:rFonts w:ascii="Times New Roman" w:hAnsi="Times New Roman"/>
          <w:lang w:val="en-US"/>
        </w:rPr>
        <w:t xml:space="preserve"> or multiple</w:t>
      </w:r>
      <w:r w:rsidR="001370AE">
        <w:rPr>
          <w:rFonts w:ascii="Times New Roman" w:hAnsi="Times New Roman"/>
          <w:lang w:val="en-US"/>
        </w:rPr>
        <w:t xml:space="preserve"> UE</w:t>
      </w:r>
      <w:r w:rsidR="00C07297">
        <w:rPr>
          <w:rFonts w:ascii="Times New Roman" w:hAnsi="Times New Roman"/>
          <w:lang w:val="en-US"/>
        </w:rPr>
        <w:t>s</w:t>
      </w:r>
      <w:r w:rsidR="001370AE">
        <w:rPr>
          <w:rFonts w:ascii="Times New Roman" w:hAnsi="Times New Roman"/>
          <w:lang w:val="en-US"/>
        </w:rPr>
        <w:t xml:space="preserve">, which does not have any RAN impact. </w:t>
      </w:r>
      <w:r>
        <w:rPr>
          <w:rFonts w:ascii="Times New Roman" w:hAnsi="Times New Roman"/>
          <w:lang w:val="en-US"/>
        </w:rPr>
        <w:t xml:space="preserve">such a </w:t>
      </w:r>
      <w:r>
        <w:rPr>
          <w:rFonts w:ascii="Times New Roman" w:hAnsi="Times New Roman"/>
        </w:rPr>
        <w:t>QoS policies-level enhancement</w:t>
      </w:r>
      <w:r w:rsidR="00EB1ACF" w:rsidRPr="00EB1ACF">
        <w:rPr>
          <w:rFonts w:ascii="Times New Roman" w:hAnsi="Times New Roman"/>
        </w:rPr>
        <w:t xml:space="preserve"> </w:t>
      </w:r>
      <w:r w:rsidR="00EB1ACF">
        <w:rPr>
          <w:rFonts w:ascii="Times New Roman" w:hAnsi="Times New Roman"/>
        </w:rPr>
        <w:t xml:space="preserve">cannot guarantee </w:t>
      </w:r>
      <w:r w:rsidR="00EB1ACF">
        <w:rPr>
          <w:rFonts w:ascii="Times New Roman" w:hAnsi="Times New Roman"/>
          <w:lang w:val="en-US"/>
        </w:rPr>
        <w:t>accurate synchronization transmission among QoS flows and</w:t>
      </w:r>
      <w:r>
        <w:rPr>
          <w:rFonts w:ascii="Times New Roman" w:hAnsi="Times New Roman"/>
        </w:rPr>
        <w:t xml:space="preserve"> can </w:t>
      </w:r>
      <w:r w:rsidR="00EB1ACF">
        <w:rPr>
          <w:rFonts w:ascii="Times New Roman" w:hAnsi="Times New Roman"/>
        </w:rPr>
        <w:t xml:space="preserve">only </w:t>
      </w:r>
      <w:r w:rsidR="00C07297">
        <w:rPr>
          <w:rFonts w:ascii="Times New Roman" w:hAnsi="Times New Roman"/>
        </w:rPr>
        <w:t>part</w:t>
      </w:r>
      <w:r w:rsidR="00CB0869">
        <w:rPr>
          <w:rFonts w:ascii="Times New Roman" w:hAnsi="Times New Roman"/>
        </w:rPr>
        <w:t>ial</w:t>
      </w:r>
      <w:r w:rsidR="00C07297">
        <w:rPr>
          <w:rFonts w:ascii="Times New Roman" w:hAnsi="Times New Roman"/>
        </w:rPr>
        <w:t xml:space="preserve">ly </w:t>
      </w:r>
      <w:r>
        <w:rPr>
          <w:rFonts w:ascii="Times New Roman" w:hAnsi="Times New Roman"/>
        </w:rPr>
        <w:t>support coordinated/sync transmission</w:t>
      </w:r>
      <w:r w:rsidR="00CB0869">
        <w:rPr>
          <w:rFonts w:ascii="Times New Roman" w:hAnsi="Times New Roman"/>
        </w:rPr>
        <w:t xml:space="preserve"> </w:t>
      </w:r>
      <w:r>
        <w:rPr>
          <w:rFonts w:ascii="Times New Roman" w:hAnsi="Times New Roman"/>
          <w:lang w:val="en-US"/>
        </w:rPr>
        <w:t xml:space="preserve">among QoS flows. As </w:t>
      </w:r>
      <w:r w:rsidR="00EA6625">
        <w:rPr>
          <w:rFonts w:ascii="Times New Roman" w:hAnsi="Times New Roman"/>
          <w:lang w:val="en-US"/>
        </w:rPr>
        <w:t>multi-modality</w:t>
      </w:r>
      <w:r w:rsidR="00EB1ACF">
        <w:rPr>
          <w:rFonts w:ascii="Times New Roman" w:hAnsi="Times New Roman"/>
          <w:lang w:val="en-US"/>
        </w:rPr>
        <w:t xml:space="preserve"> has </w:t>
      </w:r>
      <w:r w:rsidR="00CB0869">
        <w:rPr>
          <w:rFonts w:ascii="Times New Roman" w:hAnsi="Times New Roman"/>
          <w:lang w:val="en-US"/>
        </w:rPr>
        <w:t xml:space="preserve">not </w:t>
      </w:r>
      <w:r w:rsidR="00EB1ACF">
        <w:rPr>
          <w:rFonts w:ascii="Times New Roman" w:hAnsi="Times New Roman"/>
          <w:lang w:val="en-US"/>
        </w:rPr>
        <w:t>been included</w:t>
      </w:r>
      <w:r w:rsidR="00EA6625">
        <w:rPr>
          <w:rFonts w:ascii="Times New Roman" w:hAnsi="Times New Roman"/>
          <w:lang w:val="en-US"/>
        </w:rPr>
        <w:t xml:space="preserve"> in </w:t>
      </w:r>
      <w:r w:rsidR="00AE4A5C">
        <w:rPr>
          <w:rFonts w:ascii="Times New Roman" w:hAnsi="Times New Roman"/>
          <w:lang w:val="en-US"/>
        </w:rPr>
        <w:t xml:space="preserve">the </w:t>
      </w:r>
      <w:r w:rsidR="00EB1ACF">
        <w:rPr>
          <w:rFonts w:ascii="Times New Roman" w:hAnsi="Times New Roman"/>
          <w:lang w:val="en-US"/>
        </w:rPr>
        <w:t xml:space="preserve">SA2 </w:t>
      </w:r>
      <w:r w:rsidR="00EA6625">
        <w:rPr>
          <w:rFonts w:ascii="Times New Roman" w:hAnsi="Times New Roman"/>
          <w:lang w:val="en-US"/>
        </w:rPr>
        <w:t>R19 scope</w:t>
      </w:r>
      <w:r w:rsidR="001370AE">
        <w:rPr>
          <w:rFonts w:ascii="Times New Roman" w:hAnsi="Times New Roman"/>
          <w:lang w:val="en-US"/>
        </w:rPr>
        <w:t xml:space="preserve">, </w:t>
      </w:r>
      <w:r>
        <w:rPr>
          <w:rFonts w:ascii="Times New Roman" w:hAnsi="Times New Roman"/>
          <w:lang w:val="en-US"/>
        </w:rPr>
        <w:t xml:space="preserve">RAN2 enhancement on multi-modality should focus on </w:t>
      </w:r>
      <w:r w:rsidR="00BB68B5">
        <w:rPr>
          <w:rFonts w:ascii="Times New Roman" w:hAnsi="Times New Roman"/>
          <w:lang w:val="en-US"/>
        </w:rPr>
        <w:t>the uplink (for the downlink the work depends on</w:t>
      </w:r>
      <w:r w:rsidR="00EB1ACF">
        <w:rPr>
          <w:rFonts w:ascii="Times New Roman" w:hAnsi="Times New Roman"/>
          <w:lang w:val="en-US"/>
        </w:rPr>
        <w:t xml:space="preserve"> </w:t>
      </w:r>
      <w:r w:rsidR="00BB68B5">
        <w:rPr>
          <w:rFonts w:ascii="Times New Roman" w:hAnsi="Times New Roman"/>
          <w:lang w:val="en-US"/>
        </w:rPr>
        <w:t>SA2)</w:t>
      </w:r>
      <w:r w:rsidR="001370AE">
        <w:rPr>
          <w:rFonts w:ascii="Times New Roman" w:hAnsi="Times New Roman"/>
          <w:lang w:val="en-US"/>
        </w:rPr>
        <w:t xml:space="preserve">. </w:t>
      </w:r>
      <w:r>
        <w:rPr>
          <w:rFonts w:ascii="Times New Roman" w:hAnsi="Times New Roman"/>
          <w:lang w:val="en-US"/>
        </w:rPr>
        <w:t>With this in mind</w:t>
      </w:r>
      <w:r w:rsidR="001370AE">
        <w:rPr>
          <w:rFonts w:ascii="Times New Roman" w:hAnsi="Times New Roman"/>
          <w:lang w:val="en-US"/>
        </w:rPr>
        <w:t xml:space="preserve">, </w:t>
      </w:r>
      <w:r w:rsidR="00EB1ACF">
        <w:rPr>
          <w:rFonts w:ascii="Times New Roman" w:hAnsi="Times New Roman"/>
          <w:lang w:val="en-US"/>
        </w:rPr>
        <w:t xml:space="preserve">it is suggested that </w:t>
      </w:r>
      <w:r>
        <w:rPr>
          <w:rFonts w:ascii="Times New Roman" w:hAnsi="Times New Roman"/>
          <w:lang w:val="en-US"/>
        </w:rPr>
        <w:t xml:space="preserve">RAN2 may consider the </w:t>
      </w:r>
      <w:r w:rsidR="001370AE">
        <w:rPr>
          <w:rFonts w:ascii="Times New Roman" w:hAnsi="Times New Roman"/>
          <w:lang w:val="en-US"/>
        </w:rPr>
        <w:t>following aspects, including e.g. whether to have the per-packet</w:t>
      </w:r>
      <w:r w:rsidR="00EA6625">
        <w:rPr>
          <w:rFonts w:ascii="Times New Roman" w:hAnsi="Times New Roman"/>
          <w:lang w:val="en-US"/>
        </w:rPr>
        <w:t xml:space="preserve"> or per-</w:t>
      </w:r>
      <w:proofErr w:type="spellStart"/>
      <w:r w:rsidR="00EA6625">
        <w:rPr>
          <w:rFonts w:ascii="Times New Roman" w:hAnsi="Times New Roman"/>
          <w:lang w:val="en-US"/>
        </w:rPr>
        <w:t>Qos</w:t>
      </w:r>
      <w:proofErr w:type="spellEnd"/>
      <w:r w:rsidR="00EA6625">
        <w:rPr>
          <w:rFonts w:ascii="Times New Roman" w:hAnsi="Times New Roman"/>
          <w:lang w:val="en-US"/>
        </w:rPr>
        <w:t xml:space="preserve"> flow</w:t>
      </w:r>
      <w:r w:rsidR="001370AE">
        <w:rPr>
          <w:rFonts w:ascii="Times New Roman" w:hAnsi="Times New Roman"/>
          <w:lang w:val="en-US"/>
        </w:rPr>
        <w:t xml:space="preserve"> level sync transmission </w:t>
      </w:r>
      <w:r w:rsidR="00C075A7">
        <w:rPr>
          <w:rFonts w:ascii="Times New Roman" w:hAnsi="Times New Roman"/>
          <w:lang w:val="en-US"/>
        </w:rPr>
        <w:t>among</w:t>
      </w:r>
      <w:r w:rsidR="001370AE">
        <w:rPr>
          <w:rFonts w:ascii="Times New Roman" w:hAnsi="Times New Roman"/>
          <w:lang w:val="en-US"/>
        </w:rPr>
        <w:t xml:space="preserve"> multi-modality flows, whether to know the sync information </w:t>
      </w:r>
      <w:r w:rsidR="00F12B7B">
        <w:rPr>
          <w:rFonts w:ascii="Times New Roman" w:hAnsi="Times New Roman"/>
          <w:lang w:val="en-US"/>
        </w:rPr>
        <w:t>among</w:t>
      </w:r>
      <w:r w:rsidR="001370AE">
        <w:rPr>
          <w:rFonts w:ascii="Times New Roman" w:hAnsi="Times New Roman"/>
          <w:lang w:val="en-US"/>
        </w:rPr>
        <w:t xml:space="preserve"> multi-modality flows and what the impact to scheduling/transmission in MAC/PDCP</w:t>
      </w:r>
      <w:r w:rsidR="00EB1ACF">
        <w:rPr>
          <w:rFonts w:ascii="Times New Roman" w:hAnsi="Times New Roman"/>
          <w:lang w:val="en-US"/>
        </w:rPr>
        <w:t xml:space="preserve"> is</w:t>
      </w:r>
      <w:r w:rsidR="001370AE">
        <w:rPr>
          <w:rFonts w:ascii="Times New Roman" w:hAnsi="Times New Roman"/>
          <w:lang w:val="en-US"/>
        </w:rPr>
        <w:t xml:space="preserve">. </w:t>
      </w:r>
      <w:r w:rsidR="00BB68B5">
        <w:rPr>
          <w:rFonts w:ascii="Times New Roman" w:hAnsi="Times New Roman"/>
          <w:lang w:val="en-US"/>
        </w:rPr>
        <w:t xml:space="preserve">Note that SA2 alignment is </w:t>
      </w:r>
      <w:r w:rsidR="00EB1ACF">
        <w:rPr>
          <w:rFonts w:ascii="Times New Roman" w:hAnsi="Times New Roman"/>
          <w:lang w:val="en-US"/>
        </w:rPr>
        <w:t>require</w:t>
      </w:r>
      <w:r w:rsidR="00EC2854">
        <w:rPr>
          <w:rFonts w:ascii="Times New Roman" w:hAnsi="Times New Roman"/>
          <w:lang w:val="en-US"/>
        </w:rPr>
        <w:t>d</w:t>
      </w:r>
      <w:r w:rsidR="00EB1ACF">
        <w:rPr>
          <w:rFonts w:ascii="Times New Roman" w:hAnsi="Times New Roman"/>
          <w:lang w:val="en-US"/>
        </w:rPr>
        <w:t xml:space="preserve"> </w:t>
      </w:r>
      <w:r w:rsidR="00BB68B5">
        <w:rPr>
          <w:rFonts w:ascii="Times New Roman" w:hAnsi="Times New Roman"/>
          <w:lang w:val="en-US"/>
        </w:rPr>
        <w:t>if RAN agrees to support multi-modality service-related objectives.</w:t>
      </w:r>
    </w:p>
    <w:p w14:paraId="5B5AE482" w14:textId="17891C93" w:rsidR="009B414E" w:rsidRDefault="001370AE">
      <w:pPr>
        <w:pStyle w:val="Proposal"/>
      </w:pPr>
      <w:bookmarkStart w:id="12" w:name="_Toc152332504"/>
      <w:r>
        <w:t>R19 XR work scope includes the multi-modality service-related objectives [RAN2]</w:t>
      </w:r>
      <w:bookmarkEnd w:id="12"/>
    </w:p>
    <w:p w14:paraId="48FD45B0" w14:textId="5B5934D5" w:rsidR="009B414E" w:rsidRDefault="00BB68B5">
      <w:pPr>
        <w:pStyle w:val="Proposal"/>
        <w:numPr>
          <w:ilvl w:val="0"/>
          <w:numId w:val="16"/>
        </w:numPr>
        <w:rPr>
          <w:lang w:val="en-US"/>
        </w:rPr>
      </w:pPr>
      <w:bookmarkStart w:id="13" w:name="_Toc152332505"/>
      <w:r>
        <w:rPr>
          <w:lang w:val="en-US"/>
        </w:rPr>
        <w:t>UL s</w:t>
      </w:r>
      <w:r w:rsidR="001370AE">
        <w:rPr>
          <w:lang w:val="en-US"/>
        </w:rPr>
        <w:t>ync transmission of multi-modal XR application within a single UE</w:t>
      </w:r>
      <w:bookmarkEnd w:id="13"/>
    </w:p>
    <w:p w14:paraId="11AC5A75" w14:textId="15E95AC7" w:rsidR="009B414E" w:rsidRDefault="009B414E">
      <w:pPr>
        <w:rPr>
          <w:rFonts w:ascii="Times New Roman" w:hAnsi="Times New Roman"/>
          <w:lang w:val="en-US"/>
        </w:rPr>
      </w:pPr>
    </w:p>
    <w:p w14:paraId="6DD2F1E8" w14:textId="6EA5059A" w:rsidR="00CD1786" w:rsidRDefault="00CD1786" w:rsidP="00CD1786">
      <w:pPr>
        <w:rPr>
          <w:rFonts w:ascii="Times New Roman" w:hAnsi="Times New Roman"/>
          <w:lang w:val="en-US"/>
        </w:rPr>
      </w:pPr>
      <w:r>
        <w:rPr>
          <w:rFonts w:ascii="Times New Roman" w:hAnsi="Times New Roman"/>
          <w:lang w:val="en-US"/>
        </w:rPr>
        <w:t>In R18, UTO-UCI indication is configured per CG configuration, which means all bits in the bitmap of a UTO-UCI indication have a one-to-one correspondence to valid TOs belonging to one single CG configuration. In R19, extension of a single UTO-UCI indication to cover valid TOs belonging to multiple CG configurations can be supported to further enhance the system capacity, by improving the efficiency of UTO-UCI indication that can indicate the usability of more TOs closer to the indication instance than in R18 and by avoiding the redundant UTO-UCI bits corresponding to the colliding CG PUSCH TOs belonging to different CG configurations.</w:t>
      </w:r>
    </w:p>
    <w:p w14:paraId="50973037" w14:textId="141216EC" w:rsidR="00CD1786" w:rsidRDefault="00CD1786" w:rsidP="00080C71">
      <w:pPr>
        <w:pStyle w:val="Proposal"/>
        <w:rPr>
          <w:rFonts w:ascii="Times New Roman" w:hAnsi="Times New Roman"/>
          <w:lang w:val="en-US"/>
        </w:rPr>
      </w:pPr>
      <w:bookmarkStart w:id="14" w:name="_Toc152332506"/>
      <w:r>
        <w:rPr>
          <w:rFonts w:hint="eastAsia"/>
        </w:rPr>
        <w:t>R</w:t>
      </w:r>
      <w:r w:rsidRPr="00080C71">
        <w:t xml:space="preserve">19 XR work scope includes extension of UTO-UCI to multiple CG configurations </w:t>
      </w:r>
      <w:r>
        <w:t>[RAN1]</w:t>
      </w:r>
      <w:r w:rsidRPr="00080C71">
        <w:t>.</w:t>
      </w:r>
      <w:bookmarkEnd w:id="14"/>
    </w:p>
    <w:p w14:paraId="344C4A80" w14:textId="77777777" w:rsidR="00CD1786" w:rsidRPr="00CD1786" w:rsidRDefault="00CD1786">
      <w:pPr>
        <w:rPr>
          <w:rFonts w:ascii="Times New Roman" w:hAnsi="Times New Roman"/>
          <w:lang w:val="en-US"/>
        </w:rPr>
      </w:pPr>
    </w:p>
    <w:p w14:paraId="1C16FE64" w14:textId="77777777" w:rsidR="009B414E" w:rsidRDefault="001370AE">
      <w:pPr>
        <w:pStyle w:val="1"/>
      </w:pPr>
      <w:bookmarkStart w:id="15" w:name="_Toc109213964"/>
      <w:bookmarkEnd w:id="15"/>
      <w:r>
        <w:t>Conclusion</w:t>
      </w:r>
    </w:p>
    <w:p w14:paraId="392A0B89" w14:textId="77777777" w:rsidR="009B414E" w:rsidRDefault="001370AE">
      <w:r>
        <w:t>We have the following proposals:</w:t>
      </w:r>
    </w:p>
    <w:p w14:paraId="565EDCE4" w14:textId="6694E6CD" w:rsidR="00AF3E43" w:rsidRDefault="001370AE">
      <w:pPr>
        <w:pStyle w:val="TOC1"/>
        <w:rPr>
          <w:rFonts w:asciiTheme="minorHAnsi" w:eastAsiaTheme="minorEastAsia" w:hAnsiTheme="minorHAnsi" w:cstheme="minorBidi"/>
          <w:b w:val="0"/>
          <w:noProof/>
          <w:kern w:val="2"/>
          <w:sz w:val="21"/>
        </w:rPr>
      </w:pPr>
      <w:r>
        <w:fldChar w:fldCharType="begin"/>
      </w:r>
      <w:r>
        <w:instrText xml:space="preserve"> TOC \n \h \z \t "Proposal,1" </w:instrText>
      </w:r>
      <w:r>
        <w:fldChar w:fldCharType="separate"/>
      </w:r>
      <w:hyperlink w:anchor="_Toc152332502" w:history="1">
        <w:r w:rsidR="00AF3E43" w:rsidRPr="002230D0">
          <w:rPr>
            <w:rStyle w:val="af8"/>
            <w:noProof/>
          </w:rPr>
          <w:t>Proposal 1</w:t>
        </w:r>
        <w:r w:rsidR="00AF3E43">
          <w:rPr>
            <w:rFonts w:asciiTheme="minorHAnsi" w:eastAsiaTheme="minorEastAsia" w:hAnsiTheme="minorHAnsi" w:cstheme="minorBidi"/>
            <w:b w:val="0"/>
            <w:noProof/>
            <w:kern w:val="2"/>
            <w:sz w:val="21"/>
          </w:rPr>
          <w:tab/>
        </w:r>
        <w:r w:rsidR="00AF3E43" w:rsidRPr="002230D0">
          <w:rPr>
            <w:rStyle w:val="af8"/>
            <w:noProof/>
          </w:rPr>
          <w:t>R19 XR work scope includes the following R18 leftover [RAN2]</w:t>
        </w:r>
      </w:hyperlink>
    </w:p>
    <w:p w14:paraId="104CFF0E" w14:textId="0804040F" w:rsidR="00AF3E43" w:rsidRDefault="00AF3E43">
      <w:pPr>
        <w:pStyle w:val="TOC1"/>
        <w:rPr>
          <w:rFonts w:asciiTheme="minorHAnsi" w:eastAsiaTheme="minorEastAsia" w:hAnsiTheme="minorHAnsi" w:cstheme="minorBidi"/>
          <w:b w:val="0"/>
          <w:noProof/>
          <w:kern w:val="2"/>
          <w:sz w:val="21"/>
        </w:rPr>
      </w:pPr>
      <w:hyperlink w:anchor="_Toc152332503" w:history="1">
        <w:r w:rsidRPr="002230D0">
          <w:rPr>
            <w:rStyle w:val="af8"/>
            <w:rFonts w:cs="Arial"/>
            <w:noProof/>
            <w:lang w:val="en-US"/>
          </w:rPr>
          <w:t>-</w:t>
        </w:r>
        <w:r>
          <w:rPr>
            <w:rFonts w:asciiTheme="minorHAnsi" w:eastAsiaTheme="minorEastAsia" w:hAnsiTheme="minorHAnsi" w:cstheme="minorBidi"/>
            <w:b w:val="0"/>
            <w:noProof/>
            <w:kern w:val="2"/>
            <w:sz w:val="21"/>
          </w:rPr>
          <w:tab/>
        </w:r>
        <w:r w:rsidRPr="002230D0">
          <w:rPr>
            <w:rStyle w:val="af8"/>
            <w:noProof/>
            <w:lang w:val="en-US"/>
          </w:rPr>
          <w:t>FEC-based PDU Set discarding</w:t>
        </w:r>
      </w:hyperlink>
    </w:p>
    <w:p w14:paraId="74E188F6" w14:textId="68BEC013" w:rsidR="00AF3E43" w:rsidRDefault="00AF3E43">
      <w:pPr>
        <w:pStyle w:val="TOC1"/>
        <w:rPr>
          <w:rFonts w:asciiTheme="minorHAnsi" w:eastAsiaTheme="minorEastAsia" w:hAnsiTheme="minorHAnsi" w:cstheme="minorBidi"/>
          <w:b w:val="0"/>
          <w:noProof/>
          <w:kern w:val="2"/>
          <w:sz w:val="21"/>
        </w:rPr>
      </w:pPr>
      <w:hyperlink w:anchor="_Toc152332504" w:history="1">
        <w:r w:rsidRPr="002230D0">
          <w:rPr>
            <w:rStyle w:val="af8"/>
            <w:noProof/>
          </w:rPr>
          <w:t>Proposal 2</w:t>
        </w:r>
        <w:r>
          <w:rPr>
            <w:rFonts w:asciiTheme="minorHAnsi" w:eastAsiaTheme="minorEastAsia" w:hAnsiTheme="minorHAnsi" w:cstheme="minorBidi"/>
            <w:b w:val="0"/>
            <w:noProof/>
            <w:kern w:val="2"/>
            <w:sz w:val="21"/>
          </w:rPr>
          <w:tab/>
        </w:r>
        <w:r w:rsidRPr="002230D0">
          <w:rPr>
            <w:rStyle w:val="af8"/>
            <w:noProof/>
          </w:rPr>
          <w:t>R19 XR work scope includes the multi-modality service-related objectives [RAN2]</w:t>
        </w:r>
      </w:hyperlink>
    </w:p>
    <w:p w14:paraId="0B502D25" w14:textId="17C1DE32" w:rsidR="00AF3E43" w:rsidRDefault="00AF3E43">
      <w:pPr>
        <w:pStyle w:val="TOC1"/>
        <w:rPr>
          <w:rFonts w:asciiTheme="minorHAnsi" w:eastAsiaTheme="minorEastAsia" w:hAnsiTheme="minorHAnsi" w:cstheme="minorBidi"/>
          <w:b w:val="0"/>
          <w:noProof/>
          <w:kern w:val="2"/>
          <w:sz w:val="21"/>
        </w:rPr>
      </w:pPr>
      <w:hyperlink w:anchor="_Toc152332505" w:history="1">
        <w:r w:rsidRPr="002230D0">
          <w:rPr>
            <w:rStyle w:val="af8"/>
            <w:rFonts w:cs="Arial"/>
            <w:noProof/>
            <w:lang w:val="en-US"/>
          </w:rPr>
          <w:t>-</w:t>
        </w:r>
        <w:r>
          <w:rPr>
            <w:rFonts w:asciiTheme="minorHAnsi" w:eastAsiaTheme="minorEastAsia" w:hAnsiTheme="minorHAnsi" w:cstheme="minorBidi"/>
            <w:b w:val="0"/>
            <w:noProof/>
            <w:kern w:val="2"/>
            <w:sz w:val="21"/>
          </w:rPr>
          <w:tab/>
        </w:r>
        <w:r w:rsidRPr="002230D0">
          <w:rPr>
            <w:rStyle w:val="af8"/>
            <w:noProof/>
            <w:lang w:val="en-US"/>
          </w:rPr>
          <w:t>UL sync transmission of multi-modal XR application within a single UE</w:t>
        </w:r>
      </w:hyperlink>
    </w:p>
    <w:p w14:paraId="1DE0ADF3" w14:textId="5C936C97" w:rsidR="00AF3E43" w:rsidRDefault="00AF3E43">
      <w:pPr>
        <w:pStyle w:val="TOC1"/>
        <w:rPr>
          <w:rFonts w:asciiTheme="minorHAnsi" w:eastAsiaTheme="minorEastAsia" w:hAnsiTheme="minorHAnsi" w:cstheme="minorBidi"/>
          <w:b w:val="0"/>
          <w:noProof/>
          <w:kern w:val="2"/>
          <w:sz w:val="21"/>
        </w:rPr>
      </w:pPr>
      <w:hyperlink w:anchor="_Toc152332506" w:history="1">
        <w:r w:rsidRPr="002230D0">
          <w:rPr>
            <w:rStyle w:val="af8"/>
            <w:noProof/>
            <w:lang w:val="en-US"/>
          </w:rPr>
          <w:t>Proposal 3</w:t>
        </w:r>
        <w:r>
          <w:rPr>
            <w:rFonts w:asciiTheme="minorHAnsi" w:eastAsiaTheme="minorEastAsia" w:hAnsiTheme="minorHAnsi" w:cstheme="minorBidi"/>
            <w:b w:val="0"/>
            <w:noProof/>
            <w:kern w:val="2"/>
            <w:sz w:val="21"/>
          </w:rPr>
          <w:tab/>
        </w:r>
        <w:r w:rsidRPr="002230D0">
          <w:rPr>
            <w:rStyle w:val="af8"/>
            <w:noProof/>
          </w:rPr>
          <w:t>R19 XR work scope includes extension of UTO-UCI to multiple CG configurations [RAN1].</w:t>
        </w:r>
      </w:hyperlink>
    </w:p>
    <w:p w14:paraId="222B1628" w14:textId="4F7DFE05" w:rsidR="009B414E" w:rsidRPr="00080C71" w:rsidRDefault="001370AE">
      <w:pPr>
        <w:rPr>
          <w:rFonts w:ascii="等线" w:eastAsia="等线" w:hAnsi="等线" w:cs="等线"/>
          <w:b/>
          <w:sz w:val="22"/>
          <w:lang w:val="en-US"/>
        </w:rPr>
      </w:pPr>
      <w:r>
        <w:fldChar w:fldCharType="end"/>
      </w:r>
    </w:p>
    <w:p w14:paraId="69FDCD14" w14:textId="77777777" w:rsidR="009B414E" w:rsidRDefault="001370AE">
      <w:pPr>
        <w:pStyle w:val="1"/>
      </w:pPr>
      <w:bookmarkStart w:id="16" w:name="_In-sequence_SDU_delivery"/>
      <w:bookmarkStart w:id="17" w:name="_Ref174151459"/>
      <w:bookmarkStart w:id="18" w:name="_Ref189809556"/>
      <w:bookmarkStart w:id="19" w:name="_Ref450865335"/>
      <w:bookmarkEnd w:id="16"/>
      <w:r>
        <w:rPr>
          <w:rFonts w:hint="eastAsia"/>
        </w:rPr>
        <w:t>Reference</w:t>
      </w:r>
      <w:bookmarkEnd w:id="17"/>
      <w:bookmarkEnd w:id="18"/>
      <w:bookmarkEnd w:id="19"/>
    </w:p>
    <w:p w14:paraId="48B15C38" w14:textId="77777777" w:rsidR="009B414E" w:rsidRDefault="001370AE">
      <w:r w:rsidRPr="00AB2AD2">
        <w:t>[1]</w:t>
      </w:r>
      <w:r>
        <w:t xml:space="preserve"> RP-230786 Updated WID on XR Enhancements for NR</w:t>
      </w:r>
    </w:p>
    <w:p w14:paraId="572BB605" w14:textId="1B355262" w:rsidR="009B414E" w:rsidRDefault="001370AE">
      <w:r>
        <w:rPr>
          <w:rFonts w:hint="eastAsia"/>
        </w:rPr>
        <w:t>[</w:t>
      </w:r>
      <w:r>
        <w:t>2] S</w:t>
      </w:r>
      <w:bookmarkStart w:id="20" w:name="OLE_LINK1"/>
      <w:r w:rsidR="005459A9">
        <w:t>P-231198</w:t>
      </w:r>
      <w:bookmarkEnd w:id="20"/>
      <w:r>
        <w:t xml:space="preserve"> New SID on 5GS XRM Ph2</w:t>
      </w:r>
    </w:p>
    <w:p w14:paraId="42F2CA50" w14:textId="77777777" w:rsidR="009B414E" w:rsidRDefault="001370AE">
      <w:r>
        <w:rPr>
          <w:rFonts w:hint="eastAsia"/>
        </w:rPr>
        <w:t>[</w:t>
      </w:r>
      <w:r>
        <w:t>3] SP-221326 New WID: Architecture Enhancements for XR and media services (XRM)</w:t>
      </w:r>
    </w:p>
    <w:p w14:paraId="7748397F" w14:textId="77777777" w:rsidR="009B414E" w:rsidRDefault="001370AE">
      <w:r>
        <w:rPr>
          <w:rFonts w:hint="eastAsia"/>
        </w:rPr>
        <w:lastRenderedPageBreak/>
        <w:t>[</w:t>
      </w:r>
      <w:r>
        <w:t>4] TS 22.261 V19.3.0 (2023-06)</w:t>
      </w:r>
    </w:p>
    <w:p w14:paraId="28D2C68F" w14:textId="77777777" w:rsidR="009B414E" w:rsidRDefault="001370AE">
      <w:r>
        <w:rPr>
          <w:rFonts w:hint="eastAsia"/>
        </w:rPr>
        <w:t>[</w:t>
      </w:r>
      <w:r>
        <w:t>5] RP-232619 Moderator's summary for REL-19 RAN2 topic Enhancements for XR</w:t>
      </w:r>
    </w:p>
    <w:p w14:paraId="39181485" w14:textId="77777777" w:rsidR="009B414E" w:rsidRDefault="009B414E">
      <w:pPr>
        <w:rPr>
          <w:lang w:val="fr-FR"/>
        </w:rPr>
      </w:pPr>
    </w:p>
    <w:sectPr w:rsidR="009B414E">
      <w:footerReference w:type="default" r:id="rId8"/>
      <w:footnotePr>
        <w:numRestart w:val="eachSect"/>
      </w:footnotePr>
      <w:pgSz w:w="11907" w:h="16840"/>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DF343B" w14:textId="77777777" w:rsidR="0010277A" w:rsidRDefault="0010277A">
      <w:pPr>
        <w:spacing w:after="0"/>
      </w:pPr>
      <w:r>
        <w:separator/>
      </w:r>
    </w:p>
  </w:endnote>
  <w:endnote w:type="continuationSeparator" w:id="0">
    <w:p w14:paraId="0AEB66BD" w14:textId="77777777" w:rsidR="0010277A" w:rsidRDefault="0010277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5F6CE" w14:textId="77777777" w:rsidR="009B414E" w:rsidRDefault="001370AE">
    <w:pPr>
      <w:pStyle w:val="af1"/>
      <w:tabs>
        <w:tab w:val="center" w:pos="4820"/>
        <w:tab w:val="right" w:pos="9639"/>
      </w:tabs>
      <w:jc w:val="left"/>
    </w:pPr>
    <w:r>
      <w:tab/>
    </w:r>
    <w:r>
      <w:fldChar w:fldCharType="begin"/>
    </w:r>
    <w:r>
      <w:rPr>
        <w:rStyle w:val="afc"/>
      </w:rPr>
      <w:instrText xml:space="preserve"> PAGE </w:instrText>
    </w:r>
    <w:r>
      <w:fldChar w:fldCharType="separate"/>
    </w:r>
    <w:r>
      <w:rPr>
        <w:rStyle w:val="afc"/>
      </w:rPr>
      <w:t>3</w:t>
    </w:r>
    <w:r>
      <w:fldChar w:fldCharType="end"/>
    </w:r>
    <w:r>
      <w:rPr>
        <w:rStyle w:val="afc"/>
      </w:rPr>
      <w:t>/</w:t>
    </w:r>
    <w:r>
      <w:fldChar w:fldCharType="begin"/>
    </w:r>
    <w:r>
      <w:rPr>
        <w:rStyle w:val="afc"/>
      </w:rPr>
      <w:instrText xml:space="preserve"> NUMPAGES </w:instrText>
    </w:r>
    <w:r>
      <w:fldChar w:fldCharType="separate"/>
    </w:r>
    <w:r>
      <w:rPr>
        <w:rStyle w:val="afc"/>
      </w:rPr>
      <w:t>11</w:t>
    </w:r>
    <w:r>
      <w:fldChar w:fldCharType="end"/>
    </w:r>
    <w:r>
      <w:rPr>
        <w:rStyle w:val="afc"/>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D3079E" w14:textId="77777777" w:rsidR="0010277A" w:rsidRDefault="0010277A">
      <w:pPr>
        <w:spacing w:after="0"/>
      </w:pPr>
      <w:r>
        <w:separator/>
      </w:r>
    </w:p>
  </w:footnote>
  <w:footnote w:type="continuationSeparator" w:id="0">
    <w:p w14:paraId="3CC7F0C6" w14:textId="77777777" w:rsidR="0010277A" w:rsidRDefault="0010277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261389"/>
    <w:multiLevelType w:val="multilevel"/>
    <w:tmpl w:val="11261389"/>
    <w:lvl w:ilvl="0">
      <w:start w:val="1"/>
      <w:numFmt w:val="decimal"/>
      <w:pStyle w:val="Proposal"/>
      <w:lvlText w:val="Proposal %1"/>
      <w:lvlJc w:val="left"/>
      <w:pPr>
        <w:ind w:left="1701" w:hanging="1701"/>
      </w:pPr>
      <w:rPr>
        <w:rFonts w:ascii="Arial" w:hAnsi="Arial"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B8E5500"/>
    <w:multiLevelType w:val="multilevel"/>
    <w:tmpl w:val="1B8E5500"/>
    <w:lvl w:ilvl="0">
      <w:start w:val="1"/>
      <w:numFmt w:val="bullet"/>
      <w:pStyle w:val="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C9D752F"/>
    <w:multiLevelType w:val="multilevel"/>
    <w:tmpl w:val="1C9D752F"/>
    <w:lvl w:ilvl="0">
      <w:start w:val="1"/>
      <w:numFmt w:val="bullet"/>
      <w:pStyle w:val="textintend2"/>
      <w:lvlText w:val=""/>
      <w:lvlJc w:val="left"/>
      <w:pPr>
        <w:tabs>
          <w:tab w:val="left" w:pos="1418"/>
        </w:tabs>
        <w:ind w:left="1418" w:hanging="426"/>
      </w:pPr>
      <w:rPr>
        <w:rFonts w:ascii="Wingdings" w:hAnsi="Wingdings"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3" w15:restartNumberingAfterBreak="0">
    <w:nsid w:val="2148019C"/>
    <w:multiLevelType w:val="multilevel"/>
    <w:tmpl w:val="2148019C"/>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332F4931"/>
    <w:multiLevelType w:val="multilevel"/>
    <w:tmpl w:val="332F4931"/>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416C7E23"/>
    <w:multiLevelType w:val="multilevel"/>
    <w:tmpl w:val="416C7E23"/>
    <w:lvl w:ilvl="0">
      <w:start w:val="1"/>
      <w:numFmt w:val="bullet"/>
      <w:pStyle w:val="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42784390"/>
    <w:multiLevelType w:val="multilevel"/>
    <w:tmpl w:val="42784390"/>
    <w:lvl w:ilvl="0">
      <w:start w:val="1"/>
      <w:numFmt w:val="decimal"/>
      <w:pStyle w:val="1"/>
      <w:lvlText w:val="%1"/>
      <w:lvlJc w:val="left"/>
      <w:pPr>
        <w:tabs>
          <w:tab w:val="left" w:pos="432"/>
        </w:tabs>
        <w:ind w:left="432" w:hanging="432"/>
      </w:pPr>
      <w:rPr>
        <w:rFonts w:hint="default"/>
      </w:rPr>
    </w:lvl>
    <w:lvl w:ilvl="1">
      <w:start w:val="1"/>
      <w:numFmt w:val="decimal"/>
      <w:pStyle w:val="20"/>
      <w:lvlText w:val="%1.%2"/>
      <w:lvlJc w:val="left"/>
      <w:pPr>
        <w:tabs>
          <w:tab w:val="left" w:pos="576"/>
        </w:tabs>
        <w:ind w:left="576" w:hanging="576"/>
      </w:pPr>
      <w:rPr>
        <w:rFonts w:hint="default"/>
        <w:i w:val="0"/>
      </w:rPr>
    </w:lvl>
    <w:lvl w:ilvl="2">
      <w:start w:val="1"/>
      <w:numFmt w:val="decimal"/>
      <w:pStyle w:val="30"/>
      <w:lvlText w:val="%1.%2.%3"/>
      <w:lvlJc w:val="left"/>
      <w:pPr>
        <w:tabs>
          <w:tab w:val="left" w:pos="4264"/>
        </w:tabs>
        <w:ind w:left="4264" w:hanging="720"/>
      </w:pPr>
      <w:rPr>
        <w:rFonts w:hint="default"/>
        <w:i w:val="0"/>
      </w:rPr>
    </w:lvl>
    <w:lvl w:ilvl="3">
      <w:start w:val="1"/>
      <w:numFmt w:val="decimal"/>
      <w:pStyle w:val="4"/>
      <w:lvlText w:val="%1.%2.%3.%4"/>
      <w:lvlJc w:val="left"/>
      <w:pPr>
        <w:tabs>
          <w:tab w:val="left" w:pos="864"/>
        </w:tabs>
        <w:ind w:left="864" w:hanging="864"/>
      </w:pPr>
      <w:rPr>
        <w:rFonts w:hint="default"/>
        <w:i w:val="0"/>
      </w:rPr>
    </w:lvl>
    <w:lvl w:ilvl="4">
      <w:start w:val="1"/>
      <w:numFmt w:val="decimal"/>
      <w:pStyle w:val="50"/>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8" w15:restartNumberingAfterBreak="0">
    <w:nsid w:val="518234CB"/>
    <w:multiLevelType w:val="multilevel"/>
    <w:tmpl w:val="518234CB"/>
    <w:lvl w:ilvl="0">
      <w:start w:val="1"/>
      <w:numFmt w:val="bullet"/>
      <w:pStyle w:val="textintend1"/>
      <w:lvlText w:val=""/>
      <w:lvlJc w:val="left"/>
      <w:pPr>
        <w:tabs>
          <w:tab w:val="left" w:pos="992"/>
        </w:tabs>
        <w:ind w:left="992" w:hanging="425"/>
      </w:pPr>
      <w:rPr>
        <w:rFonts w:ascii="Symbol" w:eastAsia="Times New Roman" w:hAnsi="Symbo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9" w15:restartNumberingAfterBreak="0">
    <w:nsid w:val="534A79D7"/>
    <w:multiLevelType w:val="multilevel"/>
    <w:tmpl w:val="534A79D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6222E14"/>
    <w:multiLevelType w:val="multilevel"/>
    <w:tmpl w:val="56222E14"/>
    <w:lvl w:ilvl="0">
      <w:start w:val="1"/>
      <w:numFmt w:val="bullet"/>
      <w:pStyle w:val="a"/>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62CD189C"/>
    <w:multiLevelType w:val="multilevel"/>
    <w:tmpl w:val="62CD189C"/>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3" w15:restartNumberingAfterBreak="0">
    <w:nsid w:val="67160C0B"/>
    <w:multiLevelType w:val="multilevel"/>
    <w:tmpl w:val="67160C0B"/>
    <w:lvl w:ilvl="0">
      <w:start w:val="4"/>
      <w:numFmt w:val="bullet"/>
      <w:lvlText w:val="-"/>
      <w:lvlJc w:val="left"/>
      <w:pPr>
        <w:ind w:left="2061" w:hanging="360"/>
      </w:pPr>
      <w:rPr>
        <w:rFonts w:ascii="Arial" w:eastAsia="宋体" w:hAnsi="Arial" w:cs="Arial" w:hint="default"/>
      </w:rPr>
    </w:lvl>
    <w:lvl w:ilvl="1">
      <w:start w:val="1"/>
      <w:numFmt w:val="bullet"/>
      <w:lvlText w:val=""/>
      <w:lvlJc w:val="left"/>
      <w:pPr>
        <w:ind w:left="2541" w:hanging="420"/>
      </w:pPr>
      <w:rPr>
        <w:rFonts w:ascii="Wingdings" w:hAnsi="Wingdings" w:hint="default"/>
      </w:rPr>
    </w:lvl>
    <w:lvl w:ilvl="2">
      <w:start w:val="1"/>
      <w:numFmt w:val="bullet"/>
      <w:lvlText w:val=""/>
      <w:lvlJc w:val="left"/>
      <w:pPr>
        <w:ind w:left="2961" w:hanging="420"/>
      </w:pPr>
      <w:rPr>
        <w:rFonts w:ascii="Wingdings" w:hAnsi="Wingdings" w:hint="default"/>
      </w:rPr>
    </w:lvl>
    <w:lvl w:ilvl="3">
      <w:start w:val="1"/>
      <w:numFmt w:val="bullet"/>
      <w:lvlText w:val=""/>
      <w:lvlJc w:val="left"/>
      <w:pPr>
        <w:ind w:left="3381" w:hanging="420"/>
      </w:pPr>
      <w:rPr>
        <w:rFonts w:ascii="Wingdings" w:hAnsi="Wingdings" w:hint="default"/>
      </w:rPr>
    </w:lvl>
    <w:lvl w:ilvl="4">
      <w:start w:val="1"/>
      <w:numFmt w:val="bullet"/>
      <w:lvlText w:val=""/>
      <w:lvlJc w:val="left"/>
      <w:pPr>
        <w:ind w:left="3801" w:hanging="420"/>
      </w:pPr>
      <w:rPr>
        <w:rFonts w:ascii="Wingdings" w:hAnsi="Wingdings" w:hint="default"/>
      </w:rPr>
    </w:lvl>
    <w:lvl w:ilvl="5">
      <w:start w:val="1"/>
      <w:numFmt w:val="bullet"/>
      <w:lvlText w:val=""/>
      <w:lvlJc w:val="left"/>
      <w:pPr>
        <w:ind w:left="4221" w:hanging="420"/>
      </w:pPr>
      <w:rPr>
        <w:rFonts w:ascii="Wingdings" w:hAnsi="Wingdings" w:hint="default"/>
      </w:rPr>
    </w:lvl>
    <w:lvl w:ilvl="6">
      <w:start w:val="1"/>
      <w:numFmt w:val="bullet"/>
      <w:lvlText w:val=""/>
      <w:lvlJc w:val="left"/>
      <w:pPr>
        <w:ind w:left="4641" w:hanging="420"/>
      </w:pPr>
      <w:rPr>
        <w:rFonts w:ascii="Wingdings" w:hAnsi="Wingdings" w:hint="default"/>
      </w:rPr>
    </w:lvl>
    <w:lvl w:ilvl="7">
      <w:start w:val="1"/>
      <w:numFmt w:val="bullet"/>
      <w:lvlText w:val=""/>
      <w:lvlJc w:val="left"/>
      <w:pPr>
        <w:ind w:left="5061" w:hanging="420"/>
      </w:pPr>
      <w:rPr>
        <w:rFonts w:ascii="Wingdings" w:hAnsi="Wingdings" w:hint="default"/>
      </w:rPr>
    </w:lvl>
    <w:lvl w:ilvl="8">
      <w:start w:val="1"/>
      <w:numFmt w:val="bullet"/>
      <w:lvlText w:val=""/>
      <w:lvlJc w:val="left"/>
      <w:pPr>
        <w:ind w:left="5481" w:hanging="420"/>
      </w:pPr>
      <w:rPr>
        <w:rFonts w:ascii="Wingdings" w:hAnsi="Wingdings" w:hint="default"/>
      </w:rPr>
    </w:lvl>
  </w:abstractNum>
  <w:abstractNum w:abstractNumId="14" w15:restartNumberingAfterBreak="0">
    <w:nsid w:val="67A618A0"/>
    <w:multiLevelType w:val="multilevel"/>
    <w:tmpl w:val="67A618A0"/>
    <w:lvl w:ilvl="0">
      <w:start w:val="1"/>
      <w:numFmt w:val="decimal"/>
      <w:pStyle w:val="Observation"/>
      <w:lvlText w:val="Observation %1"/>
      <w:lvlJc w:val="left"/>
      <w:pPr>
        <w:ind w:left="36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6E4C1C54"/>
    <w:multiLevelType w:val="multilevel"/>
    <w:tmpl w:val="6E4C1C54"/>
    <w:lvl w:ilvl="0">
      <w:start w:val="1"/>
      <w:numFmt w:val="bullet"/>
      <w:pStyle w:val="40"/>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146DC0"/>
    <w:multiLevelType w:val="multilevel"/>
    <w:tmpl w:val="70146DC0"/>
    <w:lvl w:ilvl="0">
      <w:start w:val="1"/>
      <w:numFmt w:val="bullet"/>
      <w:lvlText w:val=""/>
      <w:lvlJc w:val="left"/>
      <w:pPr>
        <w:tabs>
          <w:tab w:val="left" w:pos="3620"/>
        </w:tabs>
        <w:ind w:left="362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7"/>
  </w:num>
  <w:num w:numId="2">
    <w:abstractNumId w:val="10"/>
  </w:num>
  <w:num w:numId="3">
    <w:abstractNumId w:val="1"/>
  </w:num>
  <w:num w:numId="4">
    <w:abstractNumId w:val="6"/>
  </w:num>
  <w:num w:numId="5">
    <w:abstractNumId w:val="15"/>
  </w:num>
  <w:num w:numId="6">
    <w:abstractNumId w:val="3"/>
  </w:num>
  <w:num w:numId="7">
    <w:abstractNumId w:val="9"/>
  </w:num>
  <w:num w:numId="8">
    <w:abstractNumId w:val="0"/>
  </w:num>
  <w:num w:numId="9">
    <w:abstractNumId w:val="14"/>
  </w:num>
  <w:num w:numId="10">
    <w:abstractNumId w:val="2"/>
  </w:num>
  <w:num w:numId="11">
    <w:abstractNumId w:val="11"/>
  </w:num>
  <w:num w:numId="12">
    <w:abstractNumId w:val="8"/>
  </w:num>
  <w:num w:numId="13">
    <w:abstractNumId w:val="5"/>
  </w:num>
  <w:num w:numId="14">
    <w:abstractNumId w:val="12"/>
  </w:num>
  <w:num w:numId="15">
    <w:abstractNumId w:val="16"/>
  </w:num>
  <w:num w:numId="16">
    <w:abstractNumId w:val="13"/>
  </w:num>
  <w:num w:numId="17">
    <w:abstractNumId w:val="0"/>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defaultTabStop w:val="567"/>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rIwMrMwtjA2MTU1NLZU0lEKTi0uzszPAykwqQUAzT74USwAAAA="/>
  </w:docVars>
  <w:rsids>
    <w:rsidRoot w:val="00FB3C9D"/>
    <w:rsid w:val="00000244"/>
    <w:rsid w:val="00000A33"/>
    <w:rsid w:val="00000E2A"/>
    <w:rsid w:val="00001A55"/>
    <w:rsid w:val="00002211"/>
    <w:rsid w:val="0000329D"/>
    <w:rsid w:val="000041CC"/>
    <w:rsid w:val="00004C71"/>
    <w:rsid w:val="00005D38"/>
    <w:rsid w:val="00006073"/>
    <w:rsid w:val="00006910"/>
    <w:rsid w:val="0000733F"/>
    <w:rsid w:val="00011541"/>
    <w:rsid w:val="00012ADF"/>
    <w:rsid w:val="00015D4A"/>
    <w:rsid w:val="00015ECB"/>
    <w:rsid w:val="0001704F"/>
    <w:rsid w:val="00017121"/>
    <w:rsid w:val="00020218"/>
    <w:rsid w:val="000208F2"/>
    <w:rsid w:val="0002231F"/>
    <w:rsid w:val="000229C4"/>
    <w:rsid w:val="00022EB0"/>
    <w:rsid w:val="00023523"/>
    <w:rsid w:val="00023758"/>
    <w:rsid w:val="00023B66"/>
    <w:rsid w:val="000271BB"/>
    <w:rsid w:val="00027541"/>
    <w:rsid w:val="000276AA"/>
    <w:rsid w:val="00027953"/>
    <w:rsid w:val="00027F1D"/>
    <w:rsid w:val="0003207D"/>
    <w:rsid w:val="000328EA"/>
    <w:rsid w:val="0003397C"/>
    <w:rsid w:val="0003461C"/>
    <w:rsid w:val="00034B3C"/>
    <w:rsid w:val="00035095"/>
    <w:rsid w:val="00035159"/>
    <w:rsid w:val="0003754F"/>
    <w:rsid w:val="000402EA"/>
    <w:rsid w:val="00041594"/>
    <w:rsid w:val="00041B32"/>
    <w:rsid w:val="00041DA2"/>
    <w:rsid w:val="000424C1"/>
    <w:rsid w:val="000427A6"/>
    <w:rsid w:val="0004357D"/>
    <w:rsid w:val="00043613"/>
    <w:rsid w:val="00043C1A"/>
    <w:rsid w:val="00044D3C"/>
    <w:rsid w:val="000460AE"/>
    <w:rsid w:val="00046206"/>
    <w:rsid w:val="00046B6E"/>
    <w:rsid w:val="00047E38"/>
    <w:rsid w:val="00050648"/>
    <w:rsid w:val="00050740"/>
    <w:rsid w:val="00050829"/>
    <w:rsid w:val="00051FF9"/>
    <w:rsid w:val="00052308"/>
    <w:rsid w:val="00052E67"/>
    <w:rsid w:val="000553AA"/>
    <w:rsid w:val="000571A8"/>
    <w:rsid w:val="00057774"/>
    <w:rsid w:val="000600F2"/>
    <w:rsid w:val="00061BC7"/>
    <w:rsid w:val="00061F4E"/>
    <w:rsid w:val="0006489D"/>
    <w:rsid w:val="000651A3"/>
    <w:rsid w:val="00065DFD"/>
    <w:rsid w:val="00066849"/>
    <w:rsid w:val="00066F60"/>
    <w:rsid w:val="00067759"/>
    <w:rsid w:val="00070D21"/>
    <w:rsid w:val="00071306"/>
    <w:rsid w:val="00071672"/>
    <w:rsid w:val="00072BE5"/>
    <w:rsid w:val="000747B3"/>
    <w:rsid w:val="00075C6B"/>
    <w:rsid w:val="0008045F"/>
    <w:rsid w:val="00080529"/>
    <w:rsid w:val="00080C41"/>
    <w:rsid w:val="00080C71"/>
    <w:rsid w:val="000830B0"/>
    <w:rsid w:val="000831DF"/>
    <w:rsid w:val="00084149"/>
    <w:rsid w:val="00084316"/>
    <w:rsid w:val="000856A1"/>
    <w:rsid w:val="0008589A"/>
    <w:rsid w:val="00086A0B"/>
    <w:rsid w:val="00087A0C"/>
    <w:rsid w:val="00087C76"/>
    <w:rsid w:val="0009000D"/>
    <w:rsid w:val="00090843"/>
    <w:rsid w:val="000918CA"/>
    <w:rsid w:val="00091EF7"/>
    <w:rsid w:val="00091F89"/>
    <w:rsid w:val="000920F1"/>
    <w:rsid w:val="00092ED9"/>
    <w:rsid w:val="00093713"/>
    <w:rsid w:val="00094317"/>
    <w:rsid w:val="0009452C"/>
    <w:rsid w:val="0009512B"/>
    <w:rsid w:val="00095875"/>
    <w:rsid w:val="00095E77"/>
    <w:rsid w:val="000976CD"/>
    <w:rsid w:val="00097CE7"/>
    <w:rsid w:val="000A034A"/>
    <w:rsid w:val="000A07CD"/>
    <w:rsid w:val="000A0880"/>
    <w:rsid w:val="000A2813"/>
    <w:rsid w:val="000A38DD"/>
    <w:rsid w:val="000A5B10"/>
    <w:rsid w:val="000A5D21"/>
    <w:rsid w:val="000A73DA"/>
    <w:rsid w:val="000B09E5"/>
    <w:rsid w:val="000B0DC5"/>
    <w:rsid w:val="000B3123"/>
    <w:rsid w:val="000B3F8F"/>
    <w:rsid w:val="000B4328"/>
    <w:rsid w:val="000B4B60"/>
    <w:rsid w:val="000B5A0D"/>
    <w:rsid w:val="000B5FE1"/>
    <w:rsid w:val="000B6C6D"/>
    <w:rsid w:val="000B7119"/>
    <w:rsid w:val="000C1655"/>
    <w:rsid w:val="000C4C0A"/>
    <w:rsid w:val="000C4FC1"/>
    <w:rsid w:val="000C5068"/>
    <w:rsid w:val="000C5272"/>
    <w:rsid w:val="000C6590"/>
    <w:rsid w:val="000C6A26"/>
    <w:rsid w:val="000C7608"/>
    <w:rsid w:val="000D00FE"/>
    <w:rsid w:val="000D0287"/>
    <w:rsid w:val="000D0648"/>
    <w:rsid w:val="000D074F"/>
    <w:rsid w:val="000D16A7"/>
    <w:rsid w:val="000D2143"/>
    <w:rsid w:val="000D2BBD"/>
    <w:rsid w:val="000D2FC3"/>
    <w:rsid w:val="000D4C8D"/>
    <w:rsid w:val="000D575D"/>
    <w:rsid w:val="000E0143"/>
    <w:rsid w:val="000E02EC"/>
    <w:rsid w:val="000E03CA"/>
    <w:rsid w:val="000E042B"/>
    <w:rsid w:val="000E09DA"/>
    <w:rsid w:val="000E14E2"/>
    <w:rsid w:val="000E1B9B"/>
    <w:rsid w:val="000E1C68"/>
    <w:rsid w:val="000E66C6"/>
    <w:rsid w:val="000E7610"/>
    <w:rsid w:val="000F0EF0"/>
    <w:rsid w:val="000F3C93"/>
    <w:rsid w:val="000F5D4E"/>
    <w:rsid w:val="001003AE"/>
    <w:rsid w:val="0010277A"/>
    <w:rsid w:val="0010328A"/>
    <w:rsid w:val="0010413F"/>
    <w:rsid w:val="001044AD"/>
    <w:rsid w:val="00105DFA"/>
    <w:rsid w:val="001066FF"/>
    <w:rsid w:val="00110EAB"/>
    <w:rsid w:val="001110BF"/>
    <w:rsid w:val="0011381E"/>
    <w:rsid w:val="00113ACC"/>
    <w:rsid w:val="00113EFB"/>
    <w:rsid w:val="00114C40"/>
    <w:rsid w:val="00114DEA"/>
    <w:rsid w:val="00115FC5"/>
    <w:rsid w:val="0011711C"/>
    <w:rsid w:val="00117CF6"/>
    <w:rsid w:val="00120AA2"/>
    <w:rsid w:val="001215BC"/>
    <w:rsid w:val="0012235F"/>
    <w:rsid w:val="0012254F"/>
    <w:rsid w:val="0012282D"/>
    <w:rsid w:val="00123300"/>
    <w:rsid w:val="00123CCC"/>
    <w:rsid w:val="00125F99"/>
    <w:rsid w:val="00126782"/>
    <w:rsid w:val="00130DAA"/>
    <w:rsid w:val="0013152B"/>
    <w:rsid w:val="00133597"/>
    <w:rsid w:val="0013500B"/>
    <w:rsid w:val="0013603F"/>
    <w:rsid w:val="00136BA4"/>
    <w:rsid w:val="00136D1F"/>
    <w:rsid w:val="001370AE"/>
    <w:rsid w:val="00137144"/>
    <w:rsid w:val="00137C2F"/>
    <w:rsid w:val="00144218"/>
    <w:rsid w:val="001446C2"/>
    <w:rsid w:val="001464F8"/>
    <w:rsid w:val="00146512"/>
    <w:rsid w:val="00146E5B"/>
    <w:rsid w:val="00146FD2"/>
    <w:rsid w:val="00151002"/>
    <w:rsid w:val="00152754"/>
    <w:rsid w:val="00152E54"/>
    <w:rsid w:val="00153C00"/>
    <w:rsid w:val="001541EF"/>
    <w:rsid w:val="0015515F"/>
    <w:rsid w:val="00156D47"/>
    <w:rsid w:val="001571D5"/>
    <w:rsid w:val="00161EB1"/>
    <w:rsid w:val="0016276D"/>
    <w:rsid w:val="00163D68"/>
    <w:rsid w:val="00164072"/>
    <w:rsid w:val="0016524B"/>
    <w:rsid w:val="0016575B"/>
    <w:rsid w:val="0016799D"/>
    <w:rsid w:val="00171792"/>
    <w:rsid w:val="00173290"/>
    <w:rsid w:val="00173332"/>
    <w:rsid w:val="00174D80"/>
    <w:rsid w:val="00175360"/>
    <w:rsid w:val="00175DBA"/>
    <w:rsid w:val="00182523"/>
    <w:rsid w:val="00182A73"/>
    <w:rsid w:val="00182D7B"/>
    <w:rsid w:val="0018325B"/>
    <w:rsid w:val="0018417B"/>
    <w:rsid w:val="00184BCC"/>
    <w:rsid w:val="00185676"/>
    <w:rsid w:val="001872AD"/>
    <w:rsid w:val="001908D3"/>
    <w:rsid w:val="00193786"/>
    <w:rsid w:val="001938C5"/>
    <w:rsid w:val="00193B32"/>
    <w:rsid w:val="001944F2"/>
    <w:rsid w:val="00194921"/>
    <w:rsid w:val="0019628E"/>
    <w:rsid w:val="00196B81"/>
    <w:rsid w:val="00197B03"/>
    <w:rsid w:val="001A0BB5"/>
    <w:rsid w:val="001A337B"/>
    <w:rsid w:val="001A46DD"/>
    <w:rsid w:val="001A480A"/>
    <w:rsid w:val="001A5C0A"/>
    <w:rsid w:val="001A5DC6"/>
    <w:rsid w:val="001A6551"/>
    <w:rsid w:val="001A6834"/>
    <w:rsid w:val="001A799D"/>
    <w:rsid w:val="001B00C3"/>
    <w:rsid w:val="001B1BD4"/>
    <w:rsid w:val="001B2889"/>
    <w:rsid w:val="001B3D23"/>
    <w:rsid w:val="001B3D89"/>
    <w:rsid w:val="001B490B"/>
    <w:rsid w:val="001B63D5"/>
    <w:rsid w:val="001B64DA"/>
    <w:rsid w:val="001B6D93"/>
    <w:rsid w:val="001B7367"/>
    <w:rsid w:val="001B7A0C"/>
    <w:rsid w:val="001C01FE"/>
    <w:rsid w:val="001C0379"/>
    <w:rsid w:val="001C043B"/>
    <w:rsid w:val="001C1ED6"/>
    <w:rsid w:val="001C41A4"/>
    <w:rsid w:val="001C6DAB"/>
    <w:rsid w:val="001C7F9B"/>
    <w:rsid w:val="001D0711"/>
    <w:rsid w:val="001D0743"/>
    <w:rsid w:val="001D0E02"/>
    <w:rsid w:val="001D0EFD"/>
    <w:rsid w:val="001D1F24"/>
    <w:rsid w:val="001D224D"/>
    <w:rsid w:val="001D2FCA"/>
    <w:rsid w:val="001D3C21"/>
    <w:rsid w:val="001D65DD"/>
    <w:rsid w:val="001D6E64"/>
    <w:rsid w:val="001E02F0"/>
    <w:rsid w:val="001E3202"/>
    <w:rsid w:val="001E3BBD"/>
    <w:rsid w:val="001E4C93"/>
    <w:rsid w:val="001E556E"/>
    <w:rsid w:val="001E5903"/>
    <w:rsid w:val="001E6FF6"/>
    <w:rsid w:val="001F03A6"/>
    <w:rsid w:val="001F1CF6"/>
    <w:rsid w:val="001F2928"/>
    <w:rsid w:val="001F3FE1"/>
    <w:rsid w:val="001F40A5"/>
    <w:rsid w:val="001F660C"/>
    <w:rsid w:val="002006F7"/>
    <w:rsid w:val="00201BF3"/>
    <w:rsid w:val="00201D0B"/>
    <w:rsid w:val="0020216B"/>
    <w:rsid w:val="0020327F"/>
    <w:rsid w:val="00204797"/>
    <w:rsid w:val="00206B44"/>
    <w:rsid w:val="002073A4"/>
    <w:rsid w:val="00207FB8"/>
    <w:rsid w:val="00210171"/>
    <w:rsid w:val="00210F1A"/>
    <w:rsid w:val="00211351"/>
    <w:rsid w:val="00211447"/>
    <w:rsid w:val="00211AD3"/>
    <w:rsid w:val="00212650"/>
    <w:rsid w:val="00212FB1"/>
    <w:rsid w:val="0021419D"/>
    <w:rsid w:val="00215F40"/>
    <w:rsid w:val="00216594"/>
    <w:rsid w:val="00220A47"/>
    <w:rsid w:val="002226D1"/>
    <w:rsid w:val="00223C00"/>
    <w:rsid w:val="0022442D"/>
    <w:rsid w:val="00224D61"/>
    <w:rsid w:val="00226C87"/>
    <w:rsid w:val="00227199"/>
    <w:rsid w:val="002313D4"/>
    <w:rsid w:val="00231ED6"/>
    <w:rsid w:val="002329CE"/>
    <w:rsid w:val="0023324E"/>
    <w:rsid w:val="00234226"/>
    <w:rsid w:val="00235396"/>
    <w:rsid w:val="00235DB8"/>
    <w:rsid w:val="00237CFE"/>
    <w:rsid w:val="002416CE"/>
    <w:rsid w:val="002416E2"/>
    <w:rsid w:val="00241724"/>
    <w:rsid w:val="0024179E"/>
    <w:rsid w:val="00243405"/>
    <w:rsid w:val="00244524"/>
    <w:rsid w:val="002448E7"/>
    <w:rsid w:val="00244E56"/>
    <w:rsid w:val="00245E1B"/>
    <w:rsid w:val="0024632E"/>
    <w:rsid w:val="002469BE"/>
    <w:rsid w:val="002504FA"/>
    <w:rsid w:val="002506CD"/>
    <w:rsid w:val="0025607A"/>
    <w:rsid w:val="00257956"/>
    <w:rsid w:val="00257DD1"/>
    <w:rsid w:val="0026097D"/>
    <w:rsid w:val="00261E7B"/>
    <w:rsid w:val="00264A36"/>
    <w:rsid w:val="002652CD"/>
    <w:rsid w:val="00266244"/>
    <w:rsid w:val="00266E0C"/>
    <w:rsid w:val="0026725A"/>
    <w:rsid w:val="002675AB"/>
    <w:rsid w:val="002719A1"/>
    <w:rsid w:val="00272AC9"/>
    <w:rsid w:val="00274595"/>
    <w:rsid w:val="0027630C"/>
    <w:rsid w:val="00276458"/>
    <w:rsid w:val="002764AC"/>
    <w:rsid w:val="00276572"/>
    <w:rsid w:val="00276E9C"/>
    <w:rsid w:val="002809AC"/>
    <w:rsid w:val="00280FBE"/>
    <w:rsid w:val="00281CCF"/>
    <w:rsid w:val="002828BF"/>
    <w:rsid w:val="00282C77"/>
    <w:rsid w:val="00283C1B"/>
    <w:rsid w:val="00284D1D"/>
    <w:rsid w:val="00285151"/>
    <w:rsid w:val="00285A65"/>
    <w:rsid w:val="00285C05"/>
    <w:rsid w:val="002869EE"/>
    <w:rsid w:val="002912C0"/>
    <w:rsid w:val="0029341F"/>
    <w:rsid w:val="002A3FE5"/>
    <w:rsid w:val="002A6E14"/>
    <w:rsid w:val="002A7020"/>
    <w:rsid w:val="002A782B"/>
    <w:rsid w:val="002B0A46"/>
    <w:rsid w:val="002B0A9A"/>
    <w:rsid w:val="002B0C66"/>
    <w:rsid w:val="002B342C"/>
    <w:rsid w:val="002B42F5"/>
    <w:rsid w:val="002B4EBC"/>
    <w:rsid w:val="002B543F"/>
    <w:rsid w:val="002B606D"/>
    <w:rsid w:val="002B79AF"/>
    <w:rsid w:val="002C00FB"/>
    <w:rsid w:val="002C0667"/>
    <w:rsid w:val="002C17FA"/>
    <w:rsid w:val="002C222F"/>
    <w:rsid w:val="002C22BF"/>
    <w:rsid w:val="002C2392"/>
    <w:rsid w:val="002C2CB1"/>
    <w:rsid w:val="002C2EDC"/>
    <w:rsid w:val="002C3F4B"/>
    <w:rsid w:val="002C501A"/>
    <w:rsid w:val="002C586A"/>
    <w:rsid w:val="002C67C3"/>
    <w:rsid w:val="002C682B"/>
    <w:rsid w:val="002C6E9D"/>
    <w:rsid w:val="002C754E"/>
    <w:rsid w:val="002C75FE"/>
    <w:rsid w:val="002D07F8"/>
    <w:rsid w:val="002D0EF9"/>
    <w:rsid w:val="002D3432"/>
    <w:rsid w:val="002D356A"/>
    <w:rsid w:val="002D3DEE"/>
    <w:rsid w:val="002D5AE9"/>
    <w:rsid w:val="002D5FD7"/>
    <w:rsid w:val="002D6F38"/>
    <w:rsid w:val="002E1259"/>
    <w:rsid w:val="002E30F4"/>
    <w:rsid w:val="002E368D"/>
    <w:rsid w:val="002E45E2"/>
    <w:rsid w:val="002E4B00"/>
    <w:rsid w:val="002E6820"/>
    <w:rsid w:val="002F037B"/>
    <w:rsid w:val="002F0908"/>
    <w:rsid w:val="002F0BD9"/>
    <w:rsid w:val="002F2F64"/>
    <w:rsid w:val="002F494C"/>
    <w:rsid w:val="002F5CB7"/>
    <w:rsid w:val="002F6B1B"/>
    <w:rsid w:val="002F6D91"/>
    <w:rsid w:val="002F7AB4"/>
    <w:rsid w:val="002F7CD2"/>
    <w:rsid w:val="003007DF"/>
    <w:rsid w:val="0030123B"/>
    <w:rsid w:val="003014DF"/>
    <w:rsid w:val="00302940"/>
    <w:rsid w:val="00303CEE"/>
    <w:rsid w:val="00304D11"/>
    <w:rsid w:val="00304E46"/>
    <w:rsid w:val="00304FDA"/>
    <w:rsid w:val="00305458"/>
    <w:rsid w:val="00306EDF"/>
    <w:rsid w:val="0030786E"/>
    <w:rsid w:val="00307D10"/>
    <w:rsid w:val="00310205"/>
    <w:rsid w:val="00310775"/>
    <w:rsid w:val="00310E40"/>
    <w:rsid w:val="00311F3F"/>
    <w:rsid w:val="00312F2B"/>
    <w:rsid w:val="003134B3"/>
    <w:rsid w:val="00313535"/>
    <w:rsid w:val="00313F0E"/>
    <w:rsid w:val="00313F67"/>
    <w:rsid w:val="003142E4"/>
    <w:rsid w:val="00315577"/>
    <w:rsid w:val="00315727"/>
    <w:rsid w:val="00315B28"/>
    <w:rsid w:val="00315C40"/>
    <w:rsid w:val="00315CAB"/>
    <w:rsid w:val="00320928"/>
    <w:rsid w:val="00320AB2"/>
    <w:rsid w:val="003210DC"/>
    <w:rsid w:val="00322E2F"/>
    <w:rsid w:val="003236AE"/>
    <w:rsid w:val="0032532E"/>
    <w:rsid w:val="00325BFC"/>
    <w:rsid w:val="003264A9"/>
    <w:rsid w:val="00330252"/>
    <w:rsid w:val="00331D7F"/>
    <w:rsid w:val="00333A7F"/>
    <w:rsid w:val="00337666"/>
    <w:rsid w:val="00340117"/>
    <w:rsid w:val="00344695"/>
    <w:rsid w:val="00345593"/>
    <w:rsid w:val="0034571D"/>
    <w:rsid w:val="00346A54"/>
    <w:rsid w:val="00347E26"/>
    <w:rsid w:val="003517E4"/>
    <w:rsid w:val="003528DA"/>
    <w:rsid w:val="00354AED"/>
    <w:rsid w:val="003561F1"/>
    <w:rsid w:val="00356EF4"/>
    <w:rsid w:val="00357EC2"/>
    <w:rsid w:val="00360565"/>
    <w:rsid w:val="00360B57"/>
    <w:rsid w:val="0036114A"/>
    <w:rsid w:val="00361540"/>
    <w:rsid w:val="00362F5A"/>
    <w:rsid w:val="0036372C"/>
    <w:rsid w:val="00363BB8"/>
    <w:rsid w:val="00365718"/>
    <w:rsid w:val="00366D15"/>
    <w:rsid w:val="00366D6D"/>
    <w:rsid w:val="00367918"/>
    <w:rsid w:val="003709F5"/>
    <w:rsid w:val="003715CC"/>
    <w:rsid w:val="003734FA"/>
    <w:rsid w:val="003743D4"/>
    <w:rsid w:val="00376B2D"/>
    <w:rsid w:val="00377EFF"/>
    <w:rsid w:val="00380055"/>
    <w:rsid w:val="00380D44"/>
    <w:rsid w:val="0038188F"/>
    <w:rsid w:val="0038350F"/>
    <w:rsid w:val="003839DE"/>
    <w:rsid w:val="00383E55"/>
    <w:rsid w:val="0038427D"/>
    <w:rsid w:val="003842E4"/>
    <w:rsid w:val="00386992"/>
    <w:rsid w:val="00386A08"/>
    <w:rsid w:val="00386DB1"/>
    <w:rsid w:val="00386F7A"/>
    <w:rsid w:val="003875D9"/>
    <w:rsid w:val="00387752"/>
    <w:rsid w:val="0039075A"/>
    <w:rsid w:val="00391515"/>
    <w:rsid w:val="00392538"/>
    <w:rsid w:val="00392BB3"/>
    <w:rsid w:val="00394C02"/>
    <w:rsid w:val="0039504D"/>
    <w:rsid w:val="00395609"/>
    <w:rsid w:val="003973C0"/>
    <w:rsid w:val="003A04B8"/>
    <w:rsid w:val="003A0C34"/>
    <w:rsid w:val="003A1DA9"/>
    <w:rsid w:val="003A315C"/>
    <w:rsid w:val="003A3BCA"/>
    <w:rsid w:val="003A4032"/>
    <w:rsid w:val="003A5748"/>
    <w:rsid w:val="003A6182"/>
    <w:rsid w:val="003A67D7"/>
    <w:rsid w:val="003A7B31"/>
    <w:rsid w:val="003B176E"/>
    <w:rsid w:val="003B2A7B"/>
    <w:rsid w:val="003B35EE"/>
    <w:rsid w:val="003B4262"/>
    <w:rsid w:val="003B5800"/>
    <w:rsid w:val="003B61CA"/>
    <w:rsid w:val="003B69C5"/>
    <w:rsid w:val="003B700D"/>
    <w:rsid w:val="003C062E"/>
    <w:rsid w:val="003C2081"/>
    <w:rsid w:val="003C23FB"/>
    <w:rsid w:val="003C43B0"/>
    <w:rsid w:val="003C6AD2"/>
    <w:rsid w:val="003C7201"/>
    <w:rsid w:val="003D114E"/>
    <w:rsid w:val="003D164A"/>
    <w:rsid w:val="003D1A62"/>
    <w:rsid w:val="003D1DDD"/>
    <w:rsid w:val="003D2725"/>
    <w:rsid w:val="003D290B"/>
    <w:rsid w:val="003D5833"/>
    <w:rsid w:val="003D6443"/>
    <w:rsid w:val="003D6D70"/>
    <w:rsid w:val="003E0C7E"/>
    <w:rsid w:val="003E12BC"/>
    <w:rsid w:val="003E137E"/>
    <w:rsid w:val="003E141A"/>
    <w:rsid w:val="003E188D"/>
    <w:rsid w:val="003E23D6"/>
    <w:rsid w:val="003E36EE"/>
    <w:rsid w:val="003E3AFA"/>
    <w:rsid w:val="003E4432"/>
    <w:rsid w:val="003E46CF"/>
    <w:rsid w:val="003E6888"/>
    <w:rsid w:val="003E72AB"/>
    <w:rsid w:val="003F2762"/>
    <w:rsid w:val="003F4940"/>
    <w:rsid w:val="003F4C46"/>
    <w:rsid w:val="003F4EFE"/>
    <w:rsid w:val="003F5F78"/>
    <w:rsid w:val="003F6EEE"/>
    <w:rsid w:val="003F7FF1"/>
    <w:rsid w:val="004002E5"/>
    <w:rsid w:val="00401DA4"/>
    <w:rsid w:val="00402CE8"/>
    <w:rsid w:val="00402D5A"/>
    <w:rsid w:val="00403D3D"/>
    <w:rsid w:val="00403E7F"/>
    <w:rsid w:val="00404249"/>
    <w:rsid w:val="004051B9"/>
    <w:rsid w:val="00405A25"/>
    <w:rsid w:val="00405AF1"/>
    <w:rsid w:val="00406568"/>
    <w:rsid w:val="004102D8"/>
    <w:rsid w:val="00411B2A"/>
    <w:rsid w:val="0041279E"/>
    <w:rsid w:val="00413871"/>
    <w:rsid w:val="00416C98"/>
    <w:rsid w:val="004174ED"/>
    <w:rsid w:val="00417788"/>
    <w:rsid w:val="00417E59"/>
    <w:rsid w:val="004217DB"/>
    <w:rsid w:val="004238C5"/>
    <w:rsid w:val="00423E90"/>
    <w:rsid w:val="00424EE4"/>
    <w:rsid w:val="00425B4D"/>
    <w:rsid w:val="00427C67"/>
    <w:rsid w:val="00430634"/>
    <w:rsid w:val="00430EFA"/>
    <w:rsid w:val="0043191E"/>
    <w:rsid w:val="00431991"/>
    <w:rsid w:val="00431D05"/>
    <w:rsid w:val="0043201F"/>
    <w:rsid w:val="0043203A"/>
    <w:rsid w:val="00432144"/>
    <w:rsid w:val="0043359C"/>
    <w:rsid w:val="0043433F"/>
    <w:rsid w:val="00434887"/>
    <w:rsid w:val="0043535F"/>
    <w:rsid w:val="00435AEC"/>
    <w:rsid w:val="00435F10"/>
    <w:rsid w:val="0043671D"/>
    <w:rsid w:val="0044071E"/>
    <w:rsid w:val="004408C8"/>
    <w:rsid w:val="00443310"/>
    <w:rsid w:val="00444E1A"/>
    <w:rsid w:val="00445B56"/>
    <w:rsid w:val="00446710"/>
    <w:rsid w:val="00446A29"/>
    <w:rsid w:val="00447B68"/>
    <w:rsid w:val="0045012C"/>
    <w:rsid w:val="00450A37"/>
    <w:rsid w:val="00450A8E"/>
    <w:rsid w:val="0045102C"/>
    <w:rsid w:val="00453276"/>
    <w:rsid w:val="00453C89"/>
    <w:rsid w:val="00454513"/>
    <w:rsid w:val="0045633B"/>
    <w:rsid w:val="004613EE"/>
    <w:rsid w:val="00462056"/>
    <w:rsid w:val="00462476"/>
    <w:rsid w:val="004641CF"/>
    <w:rsid w:val="0046441A"/>
    <w:rsid w:val="00465107"/>
    <w:rsid w:val="0046517B"/>
    <w:rsid w:val="00466280"/>
    <w:rsid w:val="00467939"/>
    <w:rsid w:val="00471929"/>
    <w:rsid w:val="00471A84"/>
    <w:rsid w:val="00472932"/>
    <w:rsid w:val="0047407C"/>
    <w:rsid w:val="00475053"/>
    <w:rsid w:val="00475773"/>
    <w:rsid w:val="0047595C"/>
    <w:rsid w:val="00475AA8"/>
    <w:rsid w:val="00476C1C"/>
    <w:rsid w:val="00476F75"/>
    <w:rsid w:val="00477C76"/>
    <w:rsid w:val="004800B2"/>
    <w:rsid w:val="004804C7"/>
    <w:rsid w:val="00480A36"/>
    <w:rsid w:val="00480E51"/>
    <w:rsid w:val="0048219B"/>
    <w:rsid w:val="004822DC"/>
    <w:rsid w:val="00483472"/>
    <w:rsid w:val="00483591"/>
    <w:rsid w:val="00483DA2"/>
    <w:rsid w:val="00483DE8"/>
    <w:rsid w:val="00484C9C"/>
    <w:rsid w:val="00487006"/>
    <w:rsid w:val="00487269"/>
    <w:rsid w:val="0048767A"/>
    <w:rsid w:val="00487F34"/>
    <w:rsid w:val="0049138D"/>
    <w:rsid w:val="00493BC6"/>
    <w:rsid w:val="00494918"/>
    <w:rsid w:val="004A0441"/>
    <w:rsid w:val="004A0D3D"/>
    <w:rsid w:val="004A0FF9"/>
    <w:rsid w:val="004A2954"/>
    <w:rsid w:val="004A2E52"/>
    <w:rsid w:val="004A3862"/>
    <w:rsid w:val="004A3A66"/>
    <w:rsid w:val="004A3A9A"/>
    <w:rsid w:val="004A3BFE"/>
    <w:rsid w:val="004A470A"/>
    <w:rsid w:val="004A51A0"/>
    <w:rsid w:val="004A6620"/>
    <w:rsid w:val="004A6965"/>
    <w:rsid w:val="004A6B43"/>
    <w:rsid w:val="004A7B3E"/>
    <w:rsid w:val="004B0035"/>
    <w:rsid w:val="004B2880"/>
    <w:rsid w:val="004B29F9"/>
    <w:rsid w:val="004B36FA"/>
    <w:rsid w:val="004B4F9E"/>
    <w:rsid w:val="004B60B2"/>
    <w:rsid w:val="004B60E2"/>
    <w:rsid w:val="004B6A77"/>
    <w:rsid w:val="004B7085"/>
    <w:rsid w:val="004C03D5"/>
    <w:rsid w:val="004C1750"/>
    <w:rsid w:val="004C17C9"/>
    <w:rsid w:val="004C23E1"/>
    <w:rsid w:val="004C42B1"/>
    <w:rsid w:val="004C4B19"/>
    <w:rsid w:val="004C6627"/>
    <w:rsid w:val="004D0C33"/>
    <w:rsid w:val="004D0F4A"/>
    <w:rsid w:val="004D1103"/>
    <w:rsid w:val="004D183D"/>
    <w:rsid w:val="004D22AE"/>
    <w:rsid w:val="004D25E9"/>
    <w:rsid w:val="004D4339"/>
    <w:rsid w:val="004D5395"/>
    <w:rsid w:val="004D673D"/>
    <w:rsid w:val="004D6A6E"/>
    <w:rsid w:val="004D76C1"/>
    <w:rsid w:val="004E0755"/>
    <w:rsid w:val="004E07E4"/>
    <w:rsid w:val="004E13A4"/>
    <w:rsid w:val="004E1777"/>
    <w:rsid w:val="004E28FF"/>
    <w:rsid w:val="004E2DB9"/>
    <w:rsid w:val="004E320A"/>
    <w:rsid w:val="004E4876"/>
    <w:rsid w:val="004E4BFC"/>
    <w:rsid w:val="004E646F"/>
    <w:rsid w:val="004E6C8E"/>
    <w:rsid w:val="004E6DD4"/>
    <w:rsid w:val="004E76C4"/>
    <w:rsid w:val="004E7D43"/>
    <w:rsid w:val="004E7EF5"/>
    <w:rsid w:val="004F0F81"/>
    <w:rsid w:val="004F16D8"/>
    <w:rsid w:val="004F67E1"/>
    <w:rsid w:val="004F6907"/>
    <w:rsid w:val="004F7779"/>
    <w:rsid w:val="00500573"/>
    <w:rsid w:val="00501856"/>
    <w:rsid w:val="00501960"/>
    <w:rsid w:val="0050225F"/>
    <w:rsid w:val="00502D6A"/>
    <w:rsid w:val="00503B04"/>
    <w:rsid w:val="005048E7"/>
    <w:rsid w:val="00506FD5"/>
    <w:rsid w:val="005079AC"/>
    <w:rsid w:val="00510091"/>
    <w:rsid w:val="00511315"/>
    <w:rsid w:val="00511731"/>
    <w:rsid w:val="00511888"/>
    <w:rsid w:val="0051192E"/>
    <w:rsid w:val="00511A32"/>
    <w:rsid w:val="00511AD6"/>
    <w:rsid w:val="00513463"/>
    <w:rsid w:val="0051678E"/>
    <w:rsid w:val="00521E28"/>
    <w:rsid w:val="00522307"/>
    <w:rsid w:val="0052354A"/>
    <w:rsid w:val="005253AE"/>
    <w:rsid w:val="005253D6"/>
    <w:rsid w:val="00526AEE"/>
    <w:rsid w:val="005272CA"/>
    <w:rsid w:val="00527BDE"/>
    <w:rsid w:val="00530857"/>
    <w:rsid w:val="00530C09"/>
    <w:rsid w:val="0053110B"/>
    <w:rsid w:val="00532548"/>
    <w:rsid w:val="0053553B"/>
    <w:rsid w:val="0053627F"/>
    <w:rsid w:val="005365BA"/>
    <w:rsid w:val="00536BAF"/>
    <w:rsid w:val="005373C9"/>
    <w:rsid w:val="00537917"/>
    <w:rsid w:val="0053794C"/>
    <w:rsid w:val="00540097"/>
    <w:rsid w:val="005410C9"/>
    <w:rsid w:val="0054149A"/>
    <w:rsid w:val="00542290"/>
    <w:rsid w:val="00542899"/>
    <w:rsid w:val="00543EC9"/>
    <w:rsid w:val="00543F3B"/>
    <w:rsid w:val="00544214"/>
    <w:rsid w:val="005442E9"/>
    <w:rsid w:val="005459A9"/>
    <w:rsid w:val="005459C0"/>
    <w:rsid w:val="00545B3E"/>
    <w:rsid w:val="00545ECC"/>
    <w:rsid w:val="00546620"/>
    <w:rsid w:val="00546A0C"/>
    <w:rsid w:val="00547999"/>
    <w:rsid w:val="005506E1"/>
    <w:rsid w:val="005508AE"/>
    <w:rsid w:val="00551A2C"/>
    <w:rsid w:val="005529BF"/>
    <w:rsid w:val="0055319F"/>
    <w:rsid w:val="00553DBF"/>
    <w:rsid w:val="005548F3"/>
    <w:rsid w:val="005568E0"/>
    <w:rsid w:val="00556981"/>
    <w:rsid w:val="0056043F"/>
    <w:rsid w:val="0056179B"/>
    <w:rsid w:val="00562D0E"/>
    <w:rsid w:val="00562D82"/>
    <w:rsid w:val="005646B7"/>
    <w:rsid w:val="00565CA7"/>
    <w:rsid w:val="00566DD9"/>
    <w:rsid w:val="00567FDF"/>
    <w:rsid w:val="005705C2"/>
    <w:rsid w:val="0057069E"/>
    <w:rsid w:val="00572CE2"/>
    <w:rsid w:val="005739B5"/>
    <w:rsid w:val="00574A85"/>
    <w:rsid w:val="00575931"/>
    <w:rsid w:val="005775F4"/>
    <w:rsid w:val="0057765A"/>
    <w:rsid w:val="005776EF"/>
    <w:rsid w:val="005779E4"/>
    <w:rsid w:val="005809B2"/>
    <w:rsid w:val="00581CD9"/>
    <w:rsid w:val="005837CA"/>
    <w:rsid w:val="00583BF2"/>
    <w:rsid w:val="00584896"/>
    <w:rsid w:val="0058629D"/>
    <w:rsid w:val="005865AC"/>
    <w:rsid w:val="0058672D"/>
    <w:rsid w:val="00587AC2"/>
    <w:rsid w:val="005900C9"/>
    <w:rsid w:val="00590103"/>
    <w:rsid w:val="00591AC3"/>
    <w:rsid w:val="00592370"/>
    <w:rsid w:val="005931B7"/>
    <w:rsid w:val="005957B0"/>
    <w:rsid w:val="005976F6"/>
    <w:rsid w:val="00597F08"/>
    <w:rsid w:val="005A0C87"/>
    <w:rsid w:val="005A13C3"/>
    <w:rsid w:val="005A1C6B"/>
    <w:rsid w:val="005A37D0"/>
    <w:rsid w:val="005A4A4D"/>
    <w:rsid w:val="005A624F"/>
    <w:rsid w:val="005A7621"/>
    <w:rsid w:val="005B03CC"/>
    <w:rsid w:val="005B0408"/>
    <w:rsid w:val="005B1A0C"/>
    <w:rsid w:val="005B3B18"/>
    <w:rsid w:val="005B4F03"/>
    <w:rsid w:val="005B5807"/>
    <w:rsid w:val="005C0973"/>
    <w:rsid w:val="005C0BB4"/>
    <w:rsid w:val="005C0F3D"/>
    <w:rsid w:val="005C42C6"/>
    <w:rsid w:val="005C5D64"/>
    <w:rsid w:val="005C5F12"/>
    <w:rsid w:val="005C7AC4"/>
    <w:rsid w:val="005D0D98"/>
    <w:rsid w:val="005D198B"/>
    <w:rsid w:val="005D237C"/>
    <w:rsid w:val="005D23BF"/>
    <w:rsid w:val="005D2585"/>
    <w:rsid w:val="005D3647"/>
    <w:rsid w:val="005D3973"/>
    <w:rsid w:val="005D3F72"/>
    <w:rsid w:val="005D50EE"/>
    <w:rsid w:val="005D73E2"/>
    <w:rsid w:val="005E1B24"/>
    <w:rsid w:val="005E2E74"/>
    <w:rsid w:val="005E3F01"/>
    <w:rsid w:val="005E52A0"/>
    <w:rsid w:val="005E655D"/>
    <w:rsid w:val="005E7F5A"/>
    <w:rsid w:val="005E7F61"/>
    <w:rsid w:val="005F1F44"/>
    <w:rsid w:val="005F3A11"/>
    <w:rsid w:val="005F6334"/>
    <w:rsid w:val="005F7DA4"/>
    <w:rsid w:val="00601D23"/>
    <w:rsid w:val="00601DB0"/>
    <w:rsid w:val="006022B5"/>
    <w:rsid w:val="006034C9"/>
    <w:rsid w:val="0060368F"/>
    <w:rsid w:val="0060379F"/>
    <w:rsid w:val="00605737"/>
    <w:rsid w:val="0060599B"/>
    <w:rsid w:val="00605F77"/>
    <w:rsid w:val="00606539"/>
    <w:rsid w:val="00610954"/>
    <w:rsid w:val="006118BA"/>
    <w:rsid w:val="006122E6"/>
    <w:rsid w:val="0061237A"/>
    <w:rsid w:val="00612481"/>
    <w:rsid w:val="006128B8"/>
    <w:rsid w:val="00612C51"/>
    <w:rsid w:val="00613077"/>
    <w:rsid w:val="00613408"/>
    <w:rsid w:val="00613908"/>
    <w:rsid w:val="00614C44"/>
    <w:rsid w:val="00615B5E"/>
    <w:rsid w:val="00615E36"/>
    <w:rsid w:val="0061639E"/>
    <w:rsid w:val="0062039A"/>
    <w:rsid w:val="00621611"/>
    <w:rsid w:val="00622777"/>
    <w:rsid w:val="006227D9"/>
    <w:rsid w:val="00623EDD"/>
    <w:rsid w:val="006252FA"/>
    <w:rsid w:val="00626084"/>
    <w:rsid w:val="00627F8D"/>
    <w:rsid w:val="00630CA2"/>
    <w:rsid w:val="006311AC"/>
    <w:rsid w:val="006312DE"/>
    <w:rsid w:val="00632A6F"/>
    <w:rsid w:val="0063392B"/>
    <w:rsid w:val="00634996"/>
    <w:rsid w:val="00635951"/>
    <w:rsid w:val="00637410"/>
    <w:rsid w:val="00642518"/>
    <w:rsid w:val="00643363"/>
    <w:rsid w:val="0064542D"/>
    <w:rsid w:val="00645685"/>
    <w:rsid w:val="00646DA5"/>
    <w:rsid w:val="006473E8"/>
    <w:rsid w:val="006534F7"/>
    <w:rsid w:val="0065441C"/>
    <w:rsid w:val="00654440"/>
    <w:rsid w:val="00654C4C"/>
    <w:rsid w:val="006555EB"/>
    <w:rsid w:val="0065564D"/>
    <w:rsid w:val="006564E6"/>
    <w:rsid w:val="006574C7"/>
    <w:rsid w:val="0066026E"/>
    <w:rsid w:val="006606CB"/>
    <w:rsid w:val="00660B1D"/>
    <w:rsid w:val="00660B33"/>
    <w:rsid w:val="00660ED0"/>
    <w:rsid w:val="006615B9"/>
    <w:rsid w:val="0066218A"/>
    <w:rsid w:val="00663FF5"/>
    <w:rsid w:val="00664BDD"/>
    <w:rsid w:val="00664C6C"/>
    <w:rsid w:val="0066536E"/>
    <w:rsid w:val="00665A94"/>
    <w:rsid w:val="00667652"/>
    <w:rsid w:val="00667FDE"/>
    <w:rsid w:val="00671037"/>
    <w:rsid w:val="00676D83"/>
    <w:rsid w:val="00677C73"/>
    <w:rsid w:val="00680058"/>
    <w:rsid w:val="00680F01"/>
    <w:rsid w:val="00681762"/>
    <w:rsid w:val="006827AF"/>
    <w:rsid w:val="00682F4A"/>
    <w:rsid w:val="006831A8"/>
    <w:rsid w:val="00683880"/>
    <w:rsid w:val="0068391A"/>
    <w:rsid w:val="00687DD2"/>
    <w:rsid w:val="00690722"/>
    <w:rsid w:val="00692F3F"/>
    <w:rsid w:val="0069305F"/>
    <w:rsid w:val="006936B3"/>
    <w:rsid w:val="00695618"/>
    <w:rsid w:val="0069611F"/>
    <w:rsid w:val="00697555"/>
    <w:rsid w:val="00697D9F"/>
    <w:rsid w:val="00697FF0"/>
    <w:rsid w:val="006A032D"/>
    <w:rsid w:val="006A071F"/>
    <w:rsid w:val="006A0D0A"/>
    <w:rsid w:val="006A27D2"/>
    <w:rsid w:val="006A2E0E"/>
    <w:rsid w:val="006A3537"/>
    <w:rsid w:val="006A42C4"/>
    <w:rsid w:val="006A5A9F"/>
    <w:rsid w:val="006A6891"/>
    <w:rsid w:val="006A69F9"/>
    <w:rsid w:val="006A7B84"/>
    <w:rsid w:val="006B28CF"/>
    <w:rsid w:val="006B2A40"/>
    <w:rsid w:val="006B2FCD"/>
    <w:rsid w:val="006B3140"/>
    <w:rsid w:val="006B31EB"/>
    <w:rsid w:val="006B4621"/>
    <w:rsid w:val="006B560F"/>
    <w:rsid w:val="006B5768"/>
    <w:rsid w:val="006C0587"/>
    <w:rsid w:val="006C06EF"/>
    <w:rsid w:val="006C0A53"/>
    <w:rsid w:val="006C32B3"/>
    <w:rsid w:val="006C3A2E"/>
    <w:rsid w:val="006C3EC4"/>
    <w:rsid w:val="006C467E"/>
    <w:rsid w:val="006C5870"/>
    <w:rsid w:val="006C5CC8"/>
    <w:rsid w:val="006C6DB0"/>
    <w:rsid w:val="006C792E"/>
    <w:rsid w:val="006C7EE5"/>
    <w:rsid w:val="006D0454"/>
    <w:rsid w:val="006D1DF3"/>
    <w:rsid w:val="006D2431"/>
    <w:rsid w:val="006D3B70"/>
    <w:rsid w:val="006D4581"/>
    <w:rsid w:val="006D50A0"/>
    <w:rsid w:val="006D5C15"/>
    <w:rsid w:val="006D6C7B"/>
    <w:rsid w:val="006E1A21"/>
    <w:rsid w:val="006E2D57"/>
    <w:rsid w:val="006E39F9"/>
    <w:rsid w:val="006E795E"/>
    <w:rsid w:val="006F0031"/>
    <w:rsid w:val="006F0C7A"/>
    <w:rsid w:val="006F1969"/>
    <w:rsid w:val="006F1C01"/>
    <w:rsid w:val="006F2475"/>
    <w:rsid w:val="006F2E51"/>
    <w:rsid w:val="006F3AE0"/>
    <w:rsid w:val="006F467C"/>
    <w:rsid w:val="006F59FB"/>
    <w:rsid w:val="006F74DF"/>
    <w:rsid w:val="006F79B7"/>
    <w:rsid w:val="006F7CD7"/>
    <w:rsid w:val="0070026F"/>
    <w:rsid w:val="0070059F"/>
    <w:rsid w:val="00702017"/>
    <w:rsid w:val="007029A6"/>
    <w:rsid w:val="00703436"/>
    <w:rsid w:val="00703901"/>
    <w:rsid w:val="007054C3"/>
    <w:rsid w:val="00706524"/>
    <w:rsid w:val="00706A0F"/>
    <w:rsid w:val="00706B96"/>
    <w:rsid w:val="00707C3A"/>
    <w:rsid w:val="007108B2"/>
    <w:rsid w:val="007124E1"/>
    <w:rsid w:val="007131DF"/>
    <w:rsid w:val="007138B7"/>
    <w:rsid w:val="00715B2D"/>
    <w:rsid w:val="00717CEE"/>
    <w:rsid w:val="00720486"/>
    <w:rsid w:val="00721032"/>
    <w:rsid w:val="00721402"/>
    <w:rsid w:val="007225D7"/>
    <w:rsid w:val="0072287D"/>
    <w:rsid w:val="0072505E"/>
    <w:rsid w:val="007301B3"/>
    <w:rsid w:val="00733E11"/>
    <w:rsid w:val="00735757"/>
    <w:rsid w:val="00735A5B"/>
    <w:rsid w:val="00740F4F"/>
    <w:rsid w:val="0074109B"/>
    <w:rsid w:val="00741CE7"/>
    <w:rsid w:val="00744E5B"/>
    <w:rsid w:val="00745C56"/>
    <w:rsid w:val="007461E4"/>
    <w:rsid w:val="007463FB"/>
    <w:rsid w:val="00752440"/>
    <w:rsid w:val="00752456"/>
    <w:rsid w:val="00753412"/>
    <w:rsid w:val="00753C4A"/>
    <w:rsid w:val="00753D43"/>
    <w:rsid w:val="00753E4C"/>
    <w:rsid w:val="0075621B"/>
    <w:rsid w:val="007606E9"/>
    <w:rsid w:val="007615FF"/>
    <w:rsid w:val="00762A4A"/>
    <w:rsid w:val="00764621"/>
    <w:rsid w:val="007667E9"/>
    <w:rsid w:val="007674BF"/>
    <w:rsid w:val="00770A28"/>
    <w:rsid w:val="00771FA4"/>
    <w:rsid w:val="0077238B"/>
    <w:rsid w:val="00772D98"/>
    <w:rsid w:val="007735BE"/>
    <w:rsid w:val="00780172"/>
    <w:rsid w:val="0078096A"/>
    <w:rsid w:val="00780B48"/>
    <w:rsid w:val="007811C7"/>
    <w:rsid w:val="00782785"/>
    <w:rsid w:val="00782B07"/>
    <w:rsid w:val="00782BCB"/>
    <w:rsid w:val="0078439F"/>
    <w:rsid w:val="00784A22"/>
    <w:rsid w:val="00785AC5"/>
    <w:rsid w:val="00785B3F"/>
    <w:rsid w:val="00790F6F"/>
    <w:rsid w:val="00792698"/>
    <w:rsid w:val="00793AED"/>
    <w:rsid w:val="00793D96"/>
    <w:rsid w:val="007945B7"/>
    <w:rsid w:val="00794731"/>
    <w:rsid w:val="00796448"/>
    <w:rsid w:val="00796892"/>
    <w:rsid w:val="00797FC2"/>
    <w:rsid w:val="007A0DAE"/>
    <w:rsid w:val="007A299C"/>
    <w:rsid w:val="007A4E79"/>
    <w:rsid w:val="007A5A0C"/>
    <w:rsid w:val="007A6063"/>
    <w:rsid w:val="007A646A"/>
    <w:rsid w:val="007A799C"/>
    <w:rsid w:val="007A7FB2"/>
    <w:rsid w:val="007B0B28"/>
    <w:rsid w:val="007B4B6C"/>
    <w:rsid w:val="007B5036"/>
    <w:rsid w:val="007B7A26"/>
    <w:rsid w:val="007B7E9B"/>
    <w:rsid w:val="007C016D"/>
    <w:rsid w:val="007C1957"/>
    <w:rsid w:val="007C1E8D"/>
    <w:rsid w:val="007C248B"/>
    <w:rsid w:val="007C40A5"/>
    <w:rsid w:val="007C5A0A"/>
    <w:rsid w:val="007C6C81"/>
    <w:rsid w:val="007C78AA"/>
    <w:rsid w:val="007D09D2"/>
    <w:rsid w:val="007D10B1"/>
    <w:rsid w:val="007D1166"/>
    <w:rsid w:val="007D3279"/>
    <w:rsid w:val="007D4D75"/>
    <w:rsid w:val="007D4E95"/>
    <w:rsid w:val="007D50AB"/>
    <w:rsid w:val="007D5A72"/>
    <w:rsid w:val="007D69C8"/>
    <w:rsid w:val="007E05E0"/>
    <w:rsid w:val="007E0864"/>
    <w:rsid w:val="007E1184"/>
    <w:rsid w:val="007E19C5"/>
    <w:rsid w:val="007E1A74"/>
    <w:rsid w:val="007E2FDD"/>
    <w:rsid w:val="007E5925"/>
    <w:rsid w:val="007E67EA"/>
    <w:rsid w:val="007E6846"/>
    <w:rsid w:val="007E69A5"/>
    <w:rsid w:val="007F1CAD"/>
    <w:rsid w:val="007F2B60"/>
    <w:rsid w:val="007F35D6"/>
    <w:rsid w:val="007F3C59"/>
    <w:rsid w:val="007F3F53"/>
    <w:rsid w:val="007F47CF"/>
    <w:rsid w:val="007F4967"/>
    <w:rsid w:val="007F5A71"/>
    <w:rsid w:val="007F5FF6"/>
    <w:rsid w:val="007F6414"/>
    <w:rsid w:val="007F6791"/>
    <w:rsid w:val="00800FAE"/>
    <w:rsid w:val="00801326"/>
    <w:rsid w:val="00802158"/>
    <w:rsid w:val="0080218A"/>
    <w:rsid w:val="00802763"/>
    <w:rsid w:val="00803799"/>
    <w:rsid w:val="00804D6A"/>
    <w:rsid w:val="00805287"/>
    <w:rsid w:val="00805522"/>
    <w:rsid w:val="008062BF"/>
    <w:rsid w:val="00807D37"/>
    <w:rsid w:val="008110D7"/>
    <w:rsid w:val="0081153E"/>
    <w:rsid w:val="008119EA"/>
    <w:rsid w:val="00812BFB"/>
    <w:rsid w:val="0081330B"/>
    <w:rsid w:val="0081341B"/>
    <w:rsid w:val="00815445"/>
    <w:rsid w:val="008156BC"/>
    <w:rsid w:val="00820593"/>
    <w:rsid w:val="00820D70"/>
    <w:rsid w:val="00821BF1"/>
    <w:rsid w:val="00822734"/>
    <w:rsid w:val="00822B34"/>
    <w:rsid w:val="00823809"/>
    <w:rsid w:val="00825AAE"/>
    <w:rsid w:val="00825BA8"/>
    <w:rsid w:val="008307FC"/>
    <w:rsid w:val="008341BA"/>
    <w:rsid w:val="00834793"/>
    <w:rsid w:val="00834BE7"/>
    <w:rsid w:val="00835BB1"/>
    <w:rsid w:val="00837F4A"/>
    <w:rsid w:val="00840E2E"/>
    <w:rsid w:val="00842380"/>
    <w:rsid w:val="008424A7"/>
    <w:rsid w:val="008433E2"/>
    <w:rsid w:val="00844F28"/>
    <w:rsid w:val="00846BA0"/>
    <w:rsid w:val="00846F71"/>
    <w:rsid w:val="008518C3"/>
    <w:rsid w:val="00851D7E"/>
    <w:rsid w:val="00853D38"/>
    <w:rsid w:val="008543F4"/>
    <w:rsid w:val="00854590"/>
    <w:rsid w:val="00854B7B"/>
    <w:rsid w:val="00854DEF"/>
    <w:rsid w:val="00854EE4"/>
    <w:rsid w:val="00855D95"/>
    <w:rsid w:val="00856AC4"/>
    <w:rsid w:val="00860B92"/>
    <w:rsid w:val="00860D9F"/>
    <w:rsid w:val="00862119"/>
    <w:rsid w:val="00862BD1"/>
    <w:rsid w:val="008631C3"/>
    <w:rsid w:val="0086469D"/>
    <w:rsid w:val="00865199"/>
    <w:rsid w:val="0086665A"/>
    <w:rsid w:val="00866700"/>
    <w:rsid w:val="00870FDD"/>
    <w:rsid w:val="00873F6E"/>
    <w:rsid w:val="00874070"/>
    <w:rsid w:val="00874F04"/>
    <w:rsid w:val="0087523A"/>
    <w:rsid w:val="008757E7"/>
    <w:rsid w:val="00875C7C"/>
    <w:rsid w:val="008762A0"/>
    <w:rsid w:val="0087677A"/>
    <w:rsid w:val="0088073A"/>
    <w:rsid w:val="00881168"/>
    <w:rsid w:val="00881BF1"/>
    <w:rsid w:val="0088201F"/>
    <w:rsid w:val="00882B4C"/>
    <w:rsid w:val="00882DA9"/>
    <w:rsid w:val="00882E19"/>
    <w:rsid w:val="008843F4"/>
    <w:rsid w:val="008846DF"/>
    <w:rsid w:val="008849C7"/>
    <w:rsid w:val="0088618B"/>
    <w:rsid w:val="00893576"/>
    <w:rsid w:val="00893AEC"/>
    <w:rsid w:val="0089424C"/>
    <w:rsid w:val="0089431C"/>
    <w:rsid w:val="008953B0"/>
    <w:rsid w:val="008958C1"/>
    <w:rsid w:val="008969E5"/>
    <w:rsid w:val="0089712A"/>
    <w:rsid w:val="008A0DD5"/>
    <w:rsid w:val="008A17D3"/>
    <w:rsid w:val="008A1D00"/>
    <w:rsid w:val="008A250A"/>
    <w:rsid w:val="008A4830"/>
    <w:rsid w:val="008A4BA7"/>
    <w:rsid w:val="008A56AB"/>
    <w:rsid w:val="008A6B71"/>
    <w:rsid w:val="008A6DC7"/>
    <w:rsid w:val="008A7930"/>
    <w:rsid w:val="008A7BCD"/>
    <w:rsid w:val="008B026E"/>
    <w:rsid w:val="008B0EEB"/>
    <w:rsid w:val="008B0F08"/>
    <w:rsid w:val="008B0F81"/>
    <w:rsid w:val="008B2B3A"/>
    <w:rsid w:val="008B2C21"/>
    <w:rsid w:val="008B3436"/>
    <w:rsid w:val="008B3543"/>
    <w:rsid w:val="008B4684"/>
    <w:rsid w:val="008B4FA0"/>
    <w:rsid w:val="008B5CC1"/>
    <w:rsid w:val="008B6193"/>
    <w:rsid w:val="008B660B"/>
    <w:rsid w:val="008B7A50"/>
    <w:rsid w:val="008C0AA9"/>
    <w:rsid w:val="008C1794"/>
    <w:rsid w:val="008C1F2F"/>
    <w:rsid w:val="008C1FDB"/>
    <w:rsid w:val="008C4437"/>
    <w:rsid w:val="008C5C1D"/>
    <w:rsid w:val="008C6197"/>
    <w:rsid w:val="008C6DBE"/>
    <w:rsid w:val="008C7C8E"/>
    <w:rsid w:val="008C7D8E"/>
    <w:rsid w:val="008D02B5"/>
    <w:rsid w:val="008D10F9"/>
    <w:rsid w:val="008D147D"/>
    <w:rsid w:val="008D23D3"/>
    <w:rsid w:val="008D48E5"/>
    <w:rsid w:val="008D4C5A"/>
    <w:rsid w:val="008D670C"/>
    <w:rsid w:val="008D6A93"/>
    <w:rsid w:val="008E1D74"/>
    <w:rsid w:val="008E27A3"/>
    <w:rsid w:val="008E33C4"/>
    <w:rsid w:val="008E361C"/>
    <w:rsid w:val="008E37C5"/>
    <w:rsid w:val="008E399F"/>
    <w:rsid w:val="008E60DF"/>
    <w:rsid w:val="008F31A4"/>
    <w:rsid w:val="008F373E"/>
    <w:rsid w:val="008F3B6D"/>
    <w:rsid w:val="008F3F8E"/>
    <w:rsid w:val="008F45B2"/>
    <w:rsid w:val="008F490F"/>
    <w:rsid w:val="008F53D7"/>
    <w:rsid w:val="008F5DC1"/>
    <w:rsid w:val="008F6145"/>
    <w:rsid w:val="008F7531"/>
    <w:rsid w:val="00901733"/>
    <w:rsid w:val="009019CD"/>
    <w:rsid w:val="0090300D"/>
    <w:rsid w:val="0090303A"/>
    <w:rsid w:val="00904D13"/>
    <w:rsid w:val="009060D9"/>
    <w:rsid w:val="00907BBD"/>
    <w:rsid w:val="00907BF0"/>
    <w:rsid w:val="009104D3"/>
    <w:rsid w:val="009106DB"/>
    <w:rsid w:val="009124C7"/>
    <w:rsid w:val="00912A41"/>
    <w:rsid w:val="00912FDB"/>
    <w:rsid w:val="009225A6"/>
    <w:rsid w:val="009259A0"/>
    <w:rsid w:val="00925BD9"/>
    <w:rsid w:val="00926C51"/>
    <w:rsid w:val="00926DC2"/>
    <w:rsid w:val="00927788"/>
    <w:rsid w:val="0093024B"/>
    <w:rsid w:val="00930A3A"/>
    <w:rsid w:val="0093161F"/>
    <w:rsid w:val="009345C7"/>
    <w:rsid w:val="00936916"/>
    <w:rsid w:val="00940AE2"/>
    <w:rsid w:val="00941021"/>
    <w:rsid w:val="00942172"/>
    <w:rsid w:val="00943B6D"/>
    <w:rsid w:val="0094746A"/>
    <w:rsid w:val="00950EBF"/>
    <w:rsid w:val="00951150"/>
    <w:rsid w:val="0095231B"/>
    <w:rsid w:val="00953755"/>
    <w:rsid w:val="00954130"/>
    <w:rsid w:val="009541D4"/>
    <w:rsid w:val="00954750"/>
    <w:rsid w:val="00955CBA"/>
    <w:rsid w:val="009608A5"/>
    <w:rsid w:val="009615CC"/>
    <w:rsid w:val="00963C0E"/>
    <w:rsid w:val="00964659"/>
    <w:rsid w:val="009655C1"/>
    <w:rsid w:val="009678D2"/>
    <w:rsid w:val="00970315"/>
    <w:rsid w:val="00970703"/>
    <w:rsid w:val="00970B45"/>
    <w:rsid w:val="00970DAA"/>
    <w:rsid w:val="00970FB3"/>
    <w:rsid w:val="00971195"/>
    <w:rsid w:val="0097174B"/>
    <w:rsid w:val="00973E37"/>
    <w:rsid w:val="009748EA"/>
    <w:rsid w:val="00974C1D"/>
    <w:rsid w:val="0097571B"/>
    <w:rsid w:val="009800E1"/>
    <w:rsid w:val="009800FC"/>
    <w:rsid w:val="009829D7"/>
    <w:rsid w:val="00982C90"/>
    <w:rsid w:val="00984828"/>
    <w:rsid w:val="009848B9"/>
    <w:rsid w:val="009858E4"/>
    <w:rsid w:val="00986189"/>
    <w:rsid w:val="009874C4"/>
    <w:rsid w:val="009877AD"/>
    <w:rsid w:val="009902C2"/>
    <w:rsid w:val="009913DF"/>
    <w:rsid w:val="0099271D"/>
    <w:rsid w:val="00995023"/>
    <w:rsid w:val="009950A5"/>
    <w:rsid w:val="009957AB"/>
    <w:rsid w:val="00995C53"/>
    <w:rsid w:val="00995C5E"/>
    <w:rsid w:val="009A1E29"/>
    <w:rsid w:val="009A25DD"/>
    <w:rsid w:val="009A2B7F"/>
    <w:rsid w:val="009A31C8"/>
    <w:rsid w:val="009A334D"/>
    <w:rsid w:val="009A36DE"/>
    <w:rsid w:val="009A3B08"/>
    <w:rsid w:val="009A40AE"/>
    <w:rsid w:val="009A5C96"/>
    <w:rsid w:val="009A5E95"/>
    <w:rsid w:val="009A7FBB"/>
    <w:rsid w:val="009B0850"/>
    <w:rsid w:val="009B1172"/>
    <w:rsid w:val="009B16B9"/>
    <w:rsid w:val="009B1A4B"/>
    <w:rsid w:val="009B1E7D"/>
    <w:rsid w:val="009B2D16"/>
    <w:rsid w:val="009B3D8B"/>
    <w:rsid w:val="009B3E20"/>
    <w:rsid w:val="009B414E"/>
    <w:rsid w:val="009B444A"/>
    <w:rsid w:val="009B44C1"/>
    <w:rsid w:val="009B45DD"/>
    <w:rsid w:val="009B49B8"/>
    <w:rsid w:val="009B4A9A"/>
    <w:rsid w:val="009C0427"/>
    <w:rsid w:val="009C2210"/>
    <w:rsid w:val="009C2342"/>
    <w:rsid w:val="009C2574"/>
    <w:rsid w:val="009C33D8"/>
    <w:rsid w:val="009C3CE8"/>
    <w:rsid w:val="009C5037"/>
    <w:rsid w:val="009C681F"/>
    <w:rsid w:val="009D0AEA"/>
    <w:rsid w:val="009D0F40"/>
    <w:rsid w:val="009D0FB8"/>
    <w:rsid w:val="009D1970"/>
    <w:rsid w:val="009D232E"/>
    <w:rsid w:val="009D3B0D"/>
    <w:rsid w:val="009D58B1"/>
    <w:rsid w:val="009D5BB6"/>
    <w:rsid w:val="009D73E0"/>
    <w:rsid w:val="009D7698"/>
    <w:rsid w:val="009E0717"/>
    <w:rsid w:val="009E078A"/>
    <w:rsid w:val="009E164E"/>
    <w:rsid w:val="009E1DE7"/>
    <w:rsid w:val="009E2DDB"/>
    <w:rsid w:val="009E319F"/>
    <w:rsid w:val="009F0B87"/>
    <w:rsid w:val="009F10BF"/>
    <w:rsid w:val="009F2201"/>
    <w:rsid w:val="009F2704"/>
    <w:rsid w:val="009F374A"/>
    <w:rsid w:val="009F4E73"/>
    <w:rsid w:val="009F5539"/>
    <w:rsid w:val="009F7574"/>
    <w:rsid w:val="009F7E9B"/>
    <w:rsid w:val="00A00A21"/>
    <w:rsid w:val="00A00DFC"/>
    <w:rsid w:val="00A01F58"/>
    <w:rsid w:val="00A026A3"/>
    <w:rsid w:val="00A036F8"/>
    <w:rsid w:val="00A04037"/>
    <w:rsid w:val="00A055ED"/>
    <w:rsid w:val="00A058BE"/>
    <w:rsid w:val="00A05A33"/>
    <w:rsid w:val="00A05D03"/>
    <w:rsid w:val="00A069E9"/>
    <w:rsid w:val="00A06F1D"/>
    <w:rsid w:val="00A07FC1"/>
    <w:rsid w:val="00A103B3"/>
    <w:rsid w:val="00A1181E"/>
    <w:rsid w:val="00A11F45"/>
    <w:rsid w:val="00A124B9"/>
    <w:rsid w:val="00A141B5"/>
    <w:rsid w:val="00A146A2"/>
    <w:rsid w:val="00A149B0"/>
    <w:rsid w:val="00A15127"/>
    <w:rsid w:val="00A20476"/>
    <w:rsid w:val="00A20DCA"/>
    <w:rsid w:val="00A21514"/>
    <w:rsid w:val="00A22097"/>
    <w:rsid w:val="00A22A7A"/>
    <w:rsid w:val="00A236A1"/>
    <w:rsid w:val="00A2398D"/>
    <w:rsid w:val="00A240F8"/>
    <w:rsid w:val="00A241D2"/>
    <w:rsid w:val="00A24317"/>
    <w:rsid w:val="00A2493E"/>
    <w:rsid w:val="00A25184"/>
    <w:rsid w:val="00A25825"/>
    <w:rsid w:val="00A25900"/>
    <w:rsid w:val="00A25989"/>
    <w:rsid w:val="00A25D50"/>
    <w:rsid w:val="00A25F07"/>
    <w:rsid w:val="00A26B2B"/>
    <w:rsid w:val="00A271B2"/>
    <w:rsid w:val="00A2775B"/>
    <w:rsid w:val="00A27E17"/>
    <w:rsid w:val="00A3124A"/>
    <w:rsid w:val="00A32441"/>
    <w:rsid w:val="00A325F0"/>
    <w:rsid w:val="00A340A3"/>
    <w:rsid w:val="00A35093"/>
    <w:rsid w:val="00A356D6"/>
    <w:rsid w:val="00A3597D"/>
    <w:rsid w:val="00A36119"/>
    <w:rsid w:val="00A3662C"/>
    <w:rsid w:val="00A36754"/>
    <w:rsid w:val="00A37BFF"/>
    <w:rsid w:val="00A40371"/>
    <w:rsid w:val="00A410EC"/>
    <w:rsid w:val="00A41641"/>
    <w:rsid w:val="00A41907"/>
    <w:rsid w:val="00A444DC"/>
    <w:rsid w:val="00A445B7"/>
    <w:rsid w:val="00A44EEA"/>
    <w:rsid w:val="00A44F2B"/>
    <w:rsid w:val="00A453B8"/>
    <w:rsid w:val="00A4568F"/>
    <w:rsid w:val="00A478E5"/>
    <w:rsid w:val="00A502C6"/>
    <w:rsid w:val="00A53148"/>
    <w:rsid w:val="00A53EC4"/>
    <w:rsid w:val="00A546D7"/>
    <w:rsid w:val="00A56FA4"/>
    <w:rsid w:val="00A6078F"/>
    <w:rsid w:val="00A6084B"/>
    <w:rsid w:val="00A61372"/>
    <w:rsid w:val="00A6230C"/>
    <w:rsid w:val="00A62AB1"/>
    <w:rsid w:val="00A63119"/>
    <w:rsid w:val="00A6357F"/>
    <w:rsid w:val="00A64D7E"/>
    <w:rsid w:val="00A6522A"/>
    <w:rsid w:val="00A65F08"/>
    <w:rsid w:val="00A67F55"/>
    <w:rsid w:val="00A70386"/>
    <w:rsid w:val="00A70B26"/>
    <w:rsid w:val="00A715C4"/>
    <w:rsid w:val="00A7255E"/>
    <w:rsid w:val="00A7379D"/>
    <w:rsid w:val="00A73CE9"/>
    <w:rsid w:val="00A74D9E"/>
    <w:rsid w:val="00A752C6"/>
    <w:rsid w:val="00A812A3"/>
    <w:rsid w:val="00A81B38"/>
    <w:rsid w:val="00A8226D"/>
    <w:rsid w:val="00A84A3E"/>
    <w:rsid w:val="00A84CFC"/>
    <w:rsid w:val="00A84EC4"/>
    <w:rsid w:val="00A85356"/>
    <w:rsid w:val="00A85D89"/>
    <w:rsid w:val="00A864DB"/>
    <w:rsid w:val="00A8753F"/>
    <w:rsid w:val="00A87A12"/>
    <w:rsid w:val="00A907C5"/>
    <w:rsid w:val="00A90D75"/>
    <w:rsid w:val="00A92892"/>
    <w:rsid w:val="00A935A4"/>
    <w:rsid w:val="00A93D91"/>
    <w:rsid w:val="00A9642C"/>
    <w:rsid w:val="00A9743F"/>
    <w:rsid w:val="00A97C12"/>
    <w:rsid w:val="00AA0074"/>
    <w:rsid w:val="00AA1400"/>
    <w:rsid w:val="00AA251C"/>
    <w:rsid w:val="00AA3845"/>
    <w:rsid w:val="00AA3A0B"/>
    <w:rsid w:val="00AA3C14"/>
    <w:rsid w:val="00AA49AE"/>
    <w:rsid w:val="00AA4B9A"/>
    <w:rsid w:val="00AA5B39"/>
    <w:rsid w:val="00AB07D3"/>
    <w:rsid w:val="00AB09A1"/>
    <w:rsid w:val="00AB0CE1"/>
    <w:rsid w:val="00AB2AD2"/>
    <w:rsid w:val="00AB7B4A"/>
    <w:rsid w:val="00AB7E54"/>
    <w:rsid w:val="00AC1893"/>
    <w:rsid w:val="00AC1980"/>
    <w:rsid w:val="00AC4020"/>
    <w:rsid w:val="00AC4AFF"/>
    <w:rsid w:val="00AC61E8"/>
    <w:rsid w:val="00AC6529"/>
    <w:rsid w:val="00AC6BF9"/>
    <w:rsid w:val="00AC76B3"/>
    <w:rsid w:val="00AD1125"/>
    <w:rsid w:val="00AD1B5F"/>
    <w:rsid w:val="00AD23A1"/>
    <w:rsid w:val="00AD270D"/>
    <w:rsid w:val="00AD2EEE"/>
    <w:rsid w:val="00AD2F52"/>
    <w:rsid w:val="00AD3AD3"/>
    <w:rsid w:val="00AD3C3F"/>
    <w:rsid w:val="00AD5CB2"/>
    <w:rsid w:val="00AD6649"/>
    <w:rsid w:val="00AD6CD4"/>
    <w:rsid w:val="00AE0819"/>
    <w:rsid w:val="00AE0EA4"/>
    <w:rsid w:val="00AE168C"/>
    <w:rsid w:val="00AE1A6B"/>
    <w:rsid w:val="00AE2300"/>
    <w:rsid w:val="00AE2EF3"/>
    <w:rsid w:val="00AE3D4E"/>
    <w:rsid w:val="00AE4A5C"/>
    <w:rsid w:val="00AE73AF"/>
    <w:rsid w:val="00AE7E00"/>
    <w:rsid w:val="00AF01D4"/>
    <w:rsid w:val="00AF07C6"/>
    <w:rsid w:val="00AF25F0"/>
    <w:rsid w:val="00AF2745"/>
    <w:rsid w:val="00AF2AC3"/>
    <w:rsid w:val="00AF3E43"/>
    <w:rsid w:val="00AF47CA"/>
    <w:rsid w:val="00AF4DEE"/>
    <w:rsid w:val="00AF7398"/>
    <w:rsid w:val="00AF742F"/>
    <w:rsid w:val="00AF778A"/>
    <w:rsid w:val="00AF7BDA"/>
    <w:rsid w:val="00B00398"/>
    <w:rsid w:val="00B0054E"/>
    <w:rsid w:val="00B0194D"/>
    <w:rsid w:val="00B01991"/>
    <w:rsid w:val="00B02498"/>
    <w:rsid w:val="00B024A0"/>
    <w:rsid w:val="00B0325E"/>
    <w:rsid w:val="00B0335C"/>
    <w:rsid w:val="00B03764"/>
    <w:rsid w:val="00B041D6"/>
    <w:rsid w:val="00B0559C"/>
    <w:rsid w:val="00B05E16"/>
    <w:rsid w:val="00B07F0C"/>
    <w:rsid w:val="00B10ED5"/>
    <w:rsid w:val="00B114E0"/>
    <w:rsid w:val="00B12992"/>
    <w:rsid w:val="00B1314A"/>
    <w:rsid w:val="00B158DA"/>
    <w:rsid w:val="00B16B81"/>
    <w:rsid w:val="00B20466"/>
    <w:rsid w:val="00B20ABF"/>
    <w:rsid w:val="00B21074"/>
    <w:rsid w:val="00B250B4"/>
    <w:rsid w:val="00B25D12"/>
    <w:rsid w:val="00B32739"/>
    <w:rsid w:val="00B3393C"/>
    <w:rsid w:val="00B348F1"/>
    <w:rsid w:val="00B3581E"/>
    <w:rsid w:val="00B36D57"/>
    <w:rsid w:val="00B36F03"/>
    <w:rsid w:val="00B37DD6"/>
    <w:rsid w:val="00B422A3"/>
    <w:rsid w:val="00B4319A"/>
    <w:rsid w:val="00B43ACC"/>
    <w:rsid w:val="00B505CF"/>
    <w:rsid w:val="00B52D68"/>
    <w:rsid w:val="00B533E6"/>
    <w:rsid w:val="00B53BDE"/>
    <w:rsid w:val="00B55A3A"/>
    <w:rsid w:val="00B55C59"/>
    <w:rsid w:val="00B57277"/>
    <w:rsid w:val="00B57377"/>
    <w:rsid w:val="00B577A0"/>
    <w:rsid w:val="00B602F5"/>
    <w:rsid w:val="00B62D1C"/>
    <w:rsid w:val="00B6335F"/>
    <w:rsid w:val="00B63DB7"/>
    <w:rsid w:val="00B63FCA"/>
    <w:rsid w:val="00B64F79"/>
    <w:rsid w:val="00B6555D"/>
    <w:rsid w:val="00B65A53"/>
    <w:rsid w:val="00B742EA"/>
    <w:rsid w:val="00B7467E"/>
    <w:rsid w:val="00B75803"/>
    <w:rsid w:val="00B76C68"/>
    <w:rsid w:val="00B77624"/>
    <w:rsid w:val="00B8025C"/>
    <w:rsid w:val="00B82842"/>
    <w:rsid w:val="00B82B2D"/>
    <w:rsid w:val="00B83577"/>
    <w:rsid w:val="00B86B0E"/>
    <w:rsid w:val="00B87534"/>
    <w:rsid w:val="00B87E0E"/>
    <w:rsid w:val="00B906BE"/>
    <w:rsid w:val="00B91592"/>
    <w:rsid w:val="00B9304D"/>
    <w:rsid w:val="00B95495"/>
    <w:rsid w:val="00B95575"/>
    <w:rsid w:val="00B95E80"/>
    <w:rsid w:val="00BA236A"/>
    <w:rsid w:val="00BA2CBD"/>
    <w:rsid w:val="00BA426D"/>
    <w:rsid w:val="00BA51FD"/>
    <w:rsid w:val="00BA5C97"/>
    <w:rsid w:val="00BA6A66"/>
    <w:rsid w:val="00BA6BBD"/>
    <w:rsid w:val="00BA7204"/>
    <w:rsid w:val="00BB0061"/>
    <w:rsid w:val="00BB0328"/>
    <w:rsid w:val="00BB0C68"/>
    <w:rsid w:val="00BB169E"/>
    <w:rsid w:val="00BB1B1D"/>
    <w:rsid w:val="00BB1E3C"/>
    <w:rsid w:val="00BB2A77"/>
    <w:rsid w:val="00BB2FE5"/>
    <w:rsid w:val="00BB4465"/>
    <w:rsid w:val="00BB5B94"/>
    <w:rsid w:val="00BB68B5"/>
    <w:rsid w:val="00BB6D2E"/>
    <w:rsid w:val="00BB6F28"/>
    <w:rsid w:val="00BB7E5A"/>
    <w:rsid w:val="00BB7F68"/>
    <w:rsid w:val="00BB7FBF"/>
    <w:rsid w:val="00BC03E4"/>
    <w:rsid w:val="00BC1210"/>
    <w:rsid w:val="00BC38DB"/>
    <w:rsid w:val="00BC3F8D"/>
    <w:rsid w:val="00BC4784"/>
    <w:rsid w:val="00BC4C3A"/>
    <w:rsid w:val="00BC6FDA"/>
    <w:rsid w:val="00BD068E"/>
    <w:rsid w:val="00BD2C36"/>
    <w:rsid w:val="00BD3E6B"/>
    <w:rsid w:val="00BD573B"/>
    <w:rsid w:val="00BD5CAA"/>
    <w:rsid w:val="00BD7B93"/>
    <w:rsid w:val="00BD7C27"/>
    <w:rsid w:val="00BE0F56"/>
    <w:rsid w:val="00BE1C62"/>
    <w:rsid w:val="00BE1D2D"/>
    <w:rsid w:val="00BE6139"/>
    <w:rsid w:val="00BE70B4"/>
    <w:rsid w:val="00BE7728"/>
    <w:rsid w:val="00BF020D"/>
    <w:rsid w:val="00BF31D0"/>
    <w:rsid w:val="00BF3999"/>
    <w:rsid w:val="00BF3A48"/>
    <w:rsid w:val="00BF42AB"/>
    <w:rsid w:val="00BF505D"/>
    <w:rsid w:val="00BF550E"/>
    <w:rsid w:val="00BF65EF"/>
    <w:rsid w:val="00C002A0"/>
    <w:rsid w:val="00C00464"/>
    <w:rsid w:val="00C018AE"/>
    <w:rsid w:val="00C019BF"/>
    <w:rsid w:val="00C01AC0"/>
    <w:rsid w:val="00C02347"/>
    <w:rsid w:val="00C041A8"/>
    <w:rsid w:val="00C0514F"/>
    <w:rsid w:val="00C05C1B"/>
    <w:rsid w:val="00C06C24"/>
    <w:rsid w:val="00C06E1F"/>
    <w:rsid w:val="00C06E3B"/>
    <w:rsid w:val="00C07297"/>
    <w:rsid w:val="00C07337"/>
    <w:rsid w:val="00C075A7"/>
    <w:rsid w:val="00C079D2"/>
    <w:rsid w:val="00C103AB"/>
    <w:rsid w:val="00C10630"/>
    <w:rsid w:val="00C10CD6"/>
    <w:rsid w:val="00C110CF"/>
    <w:rsid w:val="00C12253"/>
    <w:rsid w:val="00C132DA"/>
    <w:rsid w:val="00C14B6E"/>
    <w:rsid w:val="00C14E49"/>
    <w:rsid w:val="00C162CA"/>
    <w:rsid w:val="00C17072"/>
    <w:rsid w:val="00C1757C"/>
    <w:rsid w:val="00C21EA9"/>
    <w:rsid w:val="00C2226D"/>
    <w:rsid w:val="00C22CEC"/>
    <w:rsid w:val="00C22E1E"/>
    <w:rsid w:val="00C23975"/>
    <w:rsid w:val="00C23CC7"/>
    <w:rsid w:val="00C23CCE"/>
    <w:rsid w:val="00C2608B"/>
    <w:rsid w:val="00C30927"/>
    <w:rsid w:val="00C32080"/>
    <w:rsid w:val="00C325F8"/>
    <w:rsid w:val="00C3270B"/>
    <w:rsid w:val="00C33507"/>
    <w:rsid w:val="00C3584A"/>
    <w:rsid w:val="00C37138"/>
    <w:rsid w:val="00C37A40"/>
    <w:rsid w:val="00C40238"/>
    <w:rsid w:val="00C41094"/>
    <w:rsid w:val="00C413CD"/>
    <w:rsid w:val="00C41632"/>
    <w:rsid w:val="00C41664"/>
    <w:rsid w:val="00C43D18"/>
    <w:rsid w:val="00C444D7"/>
    <w:rsid w:val="00C4531B"/>
    <w:rsid w:val="00C45A5A"/>
    <w:rsid w:val="00C45BAA"/>
    <w:rsid w:val="00C45DC3"/>
    <w:rsid w:val="00C47659"/>
    <w:rsid w:val="00C50C39"/>
    <w:rsid w:val="00C50F15"/>
    <w:rsid w:val="00C51914"/>
    <w:rsid w:val="00C524FA"/>
    <w:rsid w:val="00C52E03"/>
    <w:rsid w:val="00C53B4E"/>
    <w:rsid w:val="00C53C86"/>
    <w:rsid w:val="00C550B2"/>
    <w:rsid w:val="00C55836"/>
    <w:rsid w:val="00C57891"/>
    <w:rsid w:val="00C601FA"/>
    <w:rsid w:val="00C607FC"/>
    <w:rsid w:val="00C614EC"/>
    <w:rsid w:val="00C62441"/>
    <w:rsid w:val="00C624CE"/>
    <w:rsid w:val="00C647DA"/>
    <w:rsid w:val="00C65708"/>
    <w:rsid w:val="00C65CB4"/>
    <w:rsid w:val="00C66555"/>
    <w:rsid w:val="00C666AD"/>
    <w:rsid w:val="00C67A47"/>
    <w:rsid w:val="00C70F70"/>
    <w:rsid w:val="00C74160"/>
    <w:rsid w:val="00C76D8F"/>
    <w:rsid w:val="00C81B52"/>
    <w:rsid w:val="00C86279"/>
    <w:rsid w:val="00C86F7A"/>
    <w:rsid w:val="00C91C47"/>
    <w:rsid w:val="00C91D18"/>
    <w:rsid w:val="00C92A7D"/>
    <w:rsid w:val="00C94568"/>
    <w:rsid w:val="00C94A65"/>
    <w:rsid w:val="00C95BA4"/>
    <w:rsid w:val="00C95FDE"/>
    <w:rsid w:val="00C96783"/>
    <w:rsid w:val="00C9693B"/>
    <w:rsid w:val="00CA05B0"/>
    <w:rsid w:val="00CA1A85"/>
    <w:rsid w:val="00CA1B59"/>
    <w:rsid w:val="00CA1DCD"/>
    <w:rsid w:val="00CA28D5"/>
    <w:rsid w:val="00CA29E4"/>
    <w:rsid w:val="00CA2A5C"/>
    <w:rsid w:val="00CA351D"/>
    <w:rsid w:val="00CA3F7B"/>
    <w:rsid w:val="00CA504C"/>
    <w:rsid w:val="00CA69B0"/>
    <w:rsid w:val="00CA69CB"/>
    <w:rsid w:val="00CA6AC3"/>
    <w:rsid w:val="00CA6D1F"/>
    <w:rsid w:val="00CA73D8"/>
    <w:rsid w:val="00CA7E46"/>
    <w:rsid w:val="00CB01E0"/>
    <w:rsid w:val="00CB0869"/>
    <w:rsid w:val="00CB1153"/>
    <w:rsid w:val="00CB1821"/>
    <w:rsid w:val="00CB1CA7"/>
    <w:rsid w:val="00CB2953"/>
    <w:rsid w:val="00CB3CD4"/>
    <w:rsid w:val="00CB421C"/>
    <w:rsid w:val="00CB497A"/>
    <w:rsid w:val="00CB549F"/>
    <w:rsid w:val="00CB5744"/>
    <w:rsid w:val="00CB73B7"/>
    <w:rsid w:val="00CB7C5E"/>
    <w:rsid w:val="00CC1163"/>
    <w:rsid w:val="00CC23DD"/>
    <w:rsid w:val="00CC6EE7"/>
    <w:rsid w:val="00CC71AB"/>
    <w:rsid w:val="00CD1786"/>
    <w:rsid w:val="00CD3BD8"/>
    <w:rsid w:val="00CD7BB6"/>
    <w:rsid w:val="00CE0BAD"/>
    <w:rsid w:val="00CE2C98"/>
    <w:rsid w:val="00CE64EF"/>
    <w:rsid w:val="00CE676B"/>
    <w:rsid w:val="00CE6D1E"/>
    <w:rsid w:val="00CE791D"/>
    <w:rsid w:val="00CF02AF"/>
    <w:rsid w:val="00CF3278"/>
    <w:rsid w:val="00CF3651"/>
    <w:rsid w:val="00CF41FD"/>
    <w:rsid w:val="00CF72AC"/>
    <w:rsid w:val="00CF79D5"/>
    <w:rsid w:val="00D004F7"/>
    <w:rsid w:val="00D0142E"/>
    <w:rsid w:val="00D0263E"/>
    <w:rsid w:val="00D0556B"/>
    <w:rsid w:val="00D05F37"/>
    <w:rsid w:val="00D07BC8"/>
    <w:rsid w:val="00D12754"/>
    <w:rsid w:val="00D12910"/>
    <w:rsid w:val="00D12C42"/>
    <w:rsid w:val="00D146AD"/>
    <w:rsid w:val="00D1539A"/>
    <w:rsid w:val="00D16C07"/>
    <w:rsid w:val="00D179C1"/>
    <w:rsid w:val="00D17FB5"/>
    <w:rsid w:val="00D202C1"/>
    <w:rsid w:val="00D207E2"/>
    <w:rsid w:val="00D212A3"/>
    <w:rsid w:val="00D21BC5"/>
    <w:rsid w:val="00D21D7D"/>
    <w:rsid w:val="00D23534"/>
    <w:rsid w:val="00D23DC1"/>
    <w:rsid w:val="00D254BC"/>
    <w:rsid w:val="00D25B55"/>
    <w:rsid w:val="00D27698"/>
    <w:rsid w:val="00D27A10"/>
    <w:rsid w:val="00D3040E"/>
    <w:rsid w:val="00D30D2A"/>
    <w:rsid w:val="00D31BB8"/>
    <w:rsid w:val="00D32CBC"/>
    <w:rsid w:val="00D355FB"/>
    <w:rsid w:val="00D36793"/>
    <w:rsid w:val="00D36E5B"/>
    <w:rsid w:val="00D37670"/>
    <w:rsid w:val="00D400F4"/>
    <w:rsid w:val="00D40F32"/>
    <w:rsid w:val="00D43664"/>
    <w:rsid w:val="00D43693"/>
    <w:rsid w:val="00D43D6F"/>
    <w:rsid w:val="00D44342"/>
    <w:rsid w:val="00D44404"/>
    <w:rsid w:val="00D44421"/>
    <w:rsid w:val="00D44C78"/>
    <w:rsid w:val="00D51304"/>
    <w:rsid w:val="00D5203F"/>
    <w:rsid w:val="00D53D9D"/>
    <w:rsid w:val="00D53E21"/>
    <w:rsid w:val="00D55919"/>
    <w:rsid w:val="00D56022"/>
    <w:rsid w:val="00D56F33"/>
    <w:rsid w:val="00D574FA"/>
    <w:rsid w:val="00D5786C"/>
    <w:rsid w:val="00D57CAA"/>
    <w:rsid w:val="00D57FA3"/>
    <w:rsid w:val="00D633D9"/>
    <w:rsid w:val="00D63B62"/>
    <w:rsid w:val="00D64249"/>
    <w:rsid w:val="00D64A23"/>
    <w:rsid w:val="00D65802"/>
    <w:rsid w:val="00D67E3A"/>
    <w:rsid w:val="00D7024F"/>
    <w:rsid w:val="00D724A8"/>
    <w:rsid w:val="00D72622"/>
    <w:rsid w:val="00D7306C"/>
    <w:rsid w:val="00D741DA"/>
    <w:rsid w:val="00D74469"/>
    <w:rsid w:val="00D74EEA"/>
    <w:rsid w:val="00D75C9A"/>
    <w:rsid w:val="00D80FC9"/>
    <w:rsid w:val="00D8272C"/>
    <w:rsid w:val="00D8315F"/>
    <w:rsid w:val="00D846E7"/>
    <w:rsid w:val="00D84DE0"/>
    <w:rsid w:val="00D85347"/>
    <w:rsid w:val="00D86EEF"/>
    <w:rsid w:val="00D87639"/>
    <w:rsid w:val="00D9254D"/>
    <w:rsid w:val="00D92A8D"/>
    <w:rsid w:val="00D9315E"/>
    <w:rsid w:val="00D931E6"/>
    <w:rsid w:val="00D936D4"/>
    <w:rsid w:val="00D944EC"/>
    <w:rsid w:val="00D94E47"/>
    <w:rsid w:val="00D973EF"/>
    <w:rsid w:val="00D9744E"/>
    <w:rsid w:val="00D978BF"/>
    <w:rsid w:val="00D97969"/>
    <w:rsid w:val="00D97ED0"/>
    <w:rsid w:val="00DA25AE"/>
    <w:rsid w:val="00DA34CC"/>
    <w:rsid w:val="00DA38A0"/>
    <w:rsid w:val="00DA47F7"/>
    <w:rsid w:val="00DA7299"/>
    <w:rsid w:val="00DA7BF6"/>
    <w:rsid w:val="00DB0ACF"/>
    <w:rsid w:val="00DB0B69"/>
    <w:rsid w:val="00DB1D92"/>
    <w:rsid w:val="00DB29D4"/>
    <w:rsid w:val="00DB65FB"/>
    <w:rsid w:val="00DB6EBB"/>
    <w:rsid w:val="00DC1004"/>
    <w:rsid w:val="00DC261A"/>
    <w:rsid w:val="00DC2F10"/>
    <w:rsid w:val="00DC2FC7"/>
    <w:rsid w:val="00DC4B7E"/>
    <w:rsid w:val="00DC54F5"/>
    <w:rsid w:val="00DC5B44"/>
    <w:rsid w:val="00DC7896"/>
    <w:rsid w:val="00DD2A3B"/>
    <w:rsid w:val="00DD2B59"/>
    <w:rsid w:val="00DD3A04"/>
    <w:rsid w:val="00DD518F"/>
    <w:rsid w:val="00DD5B03"/>
    <w:rsid w:val="00DD6941"/>
    <w:rsid w:val="00DE0ABE"/>
    <w:rsid w:val="00DE14D4"/>
    <w:rsid w:val="00DE2357"/>
    <w:rsid w:val="00DE2559"/>
    <w:rsid w:val="00DE462B"/>
    <w:rsid w:val="00DE64E4"/>
    <w:rsid w:val="00DE68B3"/>
    <w:rsid w:val="00DE711F"/>
    <w:rsid w:val="00DF0467"/>
    <w:rsid w:val="00DF228F"/>
    <w:rsid w:val="00DF3391"/>
    <w:rsid w:val="00DF3802"/>
    <w:rsid w:val="00DF4563"/>
    <w:rsid w:val="00DF4CD3"/>
    <w:rsid w:val="00DF6E26"/>
    <w:rsid w:val="00DF7434"/>
    <w:rsid w:val="00DF7A1F"/>
    <w:rsid w:val="00E015D9"/>
    <w:rsid w:val="00E01ED3"/>
    <w:rsid w:val="00E02121"/>
    <w:rsid w:val="00E0245D"/>
    <w:rsid w:val="00E0304E"/>
    <w:rsid w:val="00E03D74"/>
    <w:rsid w:val="00E04DCC"/>
    <w:rsid w:val="00E04FA4"/>
    <w:rsid w:val="00E1058B"/>
    <w:rsid w:val="00E109CF"/>
    <w:rsid w:val="00E11A62"/>
    <w:rsid w:val="00E11B22"/>
    <w:rsid w:val="00E1238F"/>
    <w:rsid w:val="00E12D21"/>
    <w:rsid w:val="00E13AFF"/>
    <w:rsid w:val="00E13F1B"/>
    <w:rsid w:val="00E148B4"/>
    <w:rsid w:val="00E15282"/>
    <w:rsid w:val="00E15A9C"/>
    <w:rsid w:val="00E16180"/>
    <w:rsid w:val="00E1620F"/>
    <w:rsid w:val="00E162DC"/>
    <w:rsid w:val="00E17C27"/>
    <w:rsid w:val="00E17C9A"/>
    <w:rsid w:val="00E210B0"/>
    <w:rsid w:val="00E21877"/>
    <w:rsid w:val="00E21DA7"/>
    <w:rsid w:val="00E22140"/>
    <w:rsid w:val="00E25434"/>
    <w:rsid w:val="00E2588F"/>
    <w:rsid w:val="00E264D5"/>
    <w:rsid w:val="00E30D5E"/>
    <w:rsid w:val="00E31D0E"/>
    <w:rsid w:val="00E32204"/>
    <w:rsid w:val="00E345B3"/>
    <w:rsid w:val="00E351B1"/>
    <w:rsid w:val="00E35999"/>
    <w:rsid w:val="00E35D65"/>
    <w:rsid w:val="00E37C1C"/>
    <w:rsid w:val="00E41956"/>
    <w:rsid w:val="00E42BC5"/>
    <w:rsid w:val="00E4304D"/>
    <w:rsid w:val="00E43DC8"/>
    <w:rsid w:val="00E4426C"/>
    <w:rsid w:val="00E47D6D"/>
    <w:rsid w:val="00E5062C"/>
    <w:rsid w:val="00E51496"/>
    <w:rsid w:val="00E51F22"/>
    <w:rsid w:val="00E5261F"/>
    <w:rsid w:val="00E52A1A"/>
    <w:rsid w:val="00E54434"/>
    <w:rsid w:val="00E54656"/>
    <w:rsid w:val="00E54F9A"/>
    <w:rsid w:val="00E560CF"/>
    <w:rsid w:val="00E5691A"/>
    <w:rsid w:val="00E57B98"/>
    <w:rsid w:val="00E57D25"/>
    <w:rsid w:val="00E57F7A"/>
    <w:rsid w:val="00E61B98"/>
    <w:rsid w:val="00E639A2"/>
    <w:rsid w:val="00E64057"/>
    <w:rsid w:val="00E64B81"/>
    <w:rsid w:val="00E64CB5"/>
    <w:rsid w:val="00E65A73"/>
    <w:rsid w:val="00E65E1E"/>
    <w:rsid w:val="00E66294"/>
    <w:rsid w:val="00E66444"/>
    <w:rsid w:val="00E72389"/>
    <w:rsid w:val="00E73B00"/>
    <w:rsid w:val="00E741A9"/>
    <w:rsid w:val="00E7426E"/>
    <w:rsid w:val="00E74FFE"/>
    <w:rsid w:val="00E751F3"/>
    <w:rsid w:val="00E75D46"/>
    <w:rsid w:val="00E775E0"/>
    <w:rsid w:val="00E8067B"/>
    <w:rsid w:val="00E80B32"/>
    <w:rsid w:val="00E81CEA"/>
    <w:rsid w:val="00E8285D"/>
    <w:rsid w:val="00E831E8"/>
    <w:rsid w:val="00E83B29"/>
    <w:rsid w:val="00E84FCE"/>
    <w:rsid w:val="00E87E55"/>
    <w:rsid w:val="00E905A2"/>
    <w:rsid w:val="00E925B8"/>
    <w:rsid w:val="00E92C53"/>
    <w:rsid w:val="00E9325E"/>
    <w:rsid w:val="00E95DC1"/>
    <w:rsid w:val="00E96006"/>
    <w:rsid w:val="00E96E14"/>
    <w:rsid w:val="00E97215"/>
    <w:rsid w:val="00E976ED"/>
    <w:rsid w:val="00EA08D0"/>
    <w:rsid w:val="00EA0F8E"/>
    <w:rsid w:val="00EA1EFD"/>
    <w:rsid w:val="00EA2B99"/>
    <w:rsid w:val="00EA3E58"/>
    <w:rsid w:val="00EA463C"/>
    <w:rsid w:val="00EA5592"/>
    <w:rsid w:val="00EA5C0E"/>
    <w:rsid w:val="00EA5F8A"/>
    <w:rsid w:val="00EA60EA"/>
    <w:rsid w:val="00EA636B"/>
    <w:rsid w:val="00EA6564"/>
    <w:rsid w:val="00EA6625"/>
    <w:rsid w:val="00EA760A"/>
    <w:rsid w:val="00EB002C"/>
    <w:rsid w:val="00EB0285"/>
    <w:rsid w:val="00EB0DF9"/>
    <w:rsid w:val="00EB1ACF"/>
    <w:rsid w:val="00EB251A"/>
    <w:rsid w:val="00EB337B"/>
    <w:rsid w:val="00EB431E"/>
    <w:rsid w:val="00EB76D3"/>
    <w:rsid w:val="00EC12AC"/>
    <w:rsid w:val="00EC193F"/>
    <w:rsid w:val="00EC1BA5"/>
    <w:rsid w:val="00EC2854"/>
    <w:rsid w:val="00EC29ED"/>
    <w:rsid w:val="00EC4DD1"/>
    <w:rsid w:val="00ED0002"/>
    <w:rsid w:val="00ED07ED"/>
    <w:rsid w:val="00ED0D92"/>
    <w:rsid w:val="00ED0FEE"/>
    <w:rsid w:val="00ED1468"/>
    <w:rsid w:val="00ED289D"/>
    <w:rsid w:val="00ED52FC"/>
    <w:rsid w:val="00ED537F"/>
    <w:rsid w:val="00ED54EA"/>
    <w:rsid w:val="00EE1037"/>
    <w:rsid w:val="00EE105A"/>
    <w:rsid w:val="00EE350C"/>
    <w:rsid w:val="00EE4474"/>
    <w:rsid w:val="00EE5BE4"/>
    <w:rsid w:val="00EE7475"/>
    <w:rsid w:val="00EE791B"/>
    <w:rsid w:val="00EE7969"/>
    <w:rsid w:val="00EE7C92"/>
    <w:rsid w:val="00EE7E3E"/>
    <w:rsid w:val="00EF0310"/>
    <w:rsid w:val="00EF1A5E"/>
    <w:rsid w:val="00EF3478"/>
    <w:rsid w:val="00EF5086"/>
    <w:rsid w:val="00EF66BE"/>
    <w:rsid w:val="00EF7911"/>
    <w:rsid w:val="00F017FC"/>
    <w:rsid w:val="00F01EA9"/>
    <w:rsid w:val="00F026DA"/>
    <w:rsid w:val="00F041AF"/>
    <w:rsid w:val="00F04848"/>
    <w:rsid w:val="00F05088"/>
    <w:rsid w:val="00F0600C"/>
    <w:rsid w:val="00F071BC"/>
    <w:rsid w:val="00F07284"/>
    <w:rsid w:val="00F07B3C"/>
    <w:rsid w:val="00F07D0A"/>
    <w:rsid w:val="00F10FC4"/>
    <w:rsid w:val="00F11624"/>
    <w:rsid w:val="00F128AF"/>
    <w:rsid w:val="00F12B7B"/>
    <w:rsid w:val="00F1544F"/>
    <w:rsid w:val="00F15C90"/>
    <w:rsid w:val="00F160EF"/>
    <w:rsid w:val="00F16328"/>
    <w:rsid w:val="00F165BD"/>
    <w:rsid w:val="00F16AE0"/>
    <w:rsid w:val="00F1730A"/>
    <w:rsid w:val="00F1795F"/>
    <w:rsid w:val="00F20FBE"/>
    <w:rsid w:val="00F22822"/>
    <w:rsid w:val="00F22874"/>
    <w:rsid w:val="00F25268"/>
    <w:rsid w:val="00F2563E"/>
    <w:rsid w:val="00F268BB"/>
    <w:rsid w:val="00F270BE"/>
    <w:rsid w:val="00F304AC"/>
    <w:rsid w:val="00F3050A"/>
    <w:rsid w:val="00F31EA4"/>
    <w:rsid w:val="00F33D9C"/>
    <w:rsid w:val="00F341C2"/>
    <w:rsid w:val="00F342DB"/>
    <w:rsid w:val="00F359D2"/>
    <w:rsid w:val="00F35EAA"/>
    <w:rsid w:val="00F36842"/>
    <w:rsid w:val="00F3691A"/>
    <w:rsid w:val="00F37F97"/>
    <w:rsid w:val="00F400A3"/>
    <w:rsid w:val="00F40F5D"/>
    <w:rsid w:val="00F423B6"/>
    <w:rsid w:val="00F427F9"/>
    <w:rsid w:val="00F429A0"/>
    <w:rsid w:val="00F42BEC"/>
    <w:rsid w:val="00F438ED"/>
    <w:rsid w:val="00F45A5F"/>
    <w:rsid w:val="00F4713E"/>
    <w:rsid w:val="00F50604"/>
    <w:rsid w:val="00F50A2A"/>
    <w:rsid w:val="00F51F39"/>
    <w:rsid w:val="00F5349C"/>
    <w:rsid w:val="00F53DAB"/>
    <w:rsid w:val="00F53E43"/>
    <w:rsid w:val="00F5605E"/>
    <w:rsid w:val="00F60453"/>
    <w:rsid w:val="00F60AE1"/>
    <w:rsid w:val="00F61D86"/>
    <w:rsid w:val="00F62085"/>
    <w:rsid w:val="00F6288F"/>
    <w:rsid w:val="00F63450"/>
    <w:rsid w:val="00F63556"/>
    <w:rsid w:val="00F6393A"/>
    <w:rsid w:val="00F6540A"/>
    <w:rsid w:val="00F667D6"/>
    <w:rsid w:val="00F703BA"/>
    <w:rsid w:val="00F72093"/>
    <w:rsid w:val="00F720FD"/>
    <w:rsid w:val="00F72561"/>
    <w:rsid w:val="00F726A2"/>
    <w:rsid w:val="00F727CC"/>
    <w:rsid w:val="00F73B90"/>
    <w:rsid w:val="00F75287"/>
    <w:rsid w:val="00F7567A"/>
    <w:rsid w:val="00F75B27"/>
    <w:rsid w:val="00F75E1F"/>
    <w:rsid w:val="00F768B0"/>
    <w:rsid w:val="00F773E5"/>
    <w:rsid w:val="00F813F3"/>
    <w:rsid w:val="00F81B92"/>
    <w:rsid w:val="00F828BF"/>
    <w:rsid w:val="00F835AE"/>
    <w:rsid w:val="00F84C07"/>
    <w:rsid w:val="00F87287"/>
    <w:rsid w:val="00F87B7A"/>
    <w:rsid w:val="00F9012A"/>
    <w:rsid w:val="00F904CC"/>
    <w:rsid w:val="00F904D5"/>
    <w:rsid w:val="00F917A6"/>
    <w:rsid w:val="00F919DC"/>
    <w:rsid w:val="00F925AC"/>
    <w:rsid w:val="00F9401C"/>
    <w:rsid w:val="00F970D8"/>
    <w:rsid w:val="00F97B5F"/>
    <w:rsid w:val="00F97C20"/>
    <w:rsid w:val="00FA1088"/>
    <w:rsid w:val="00FA1F43"/>
    <w:rsid w:val="00FA3363"/>
    <w:rsid w:val="00FA378E"/>
    <w:rsid w:val="00FA475A"/>
    <w:rsid w:val="00FA691B"/>
    <w:rsid w:val="00FB2CE4"/>
    <w:rsid w:val="00FB3C9D"/>
    <w:rsid w:val="00FB3EF0"/>
    <w:rsid w:val="00FB62CF"/>
    <w:rsid w:val="00FC01BA"/>
    <w:rsid w:val="00FC07FE"/>
    <w:rsid w:val="00FC1485"/>
    <w:rsid w:val="00FC2320"/>
    <w:rsid w:val="00FC3162"/>
    <w:rsid w:val="00FC33C8"/>
    <w:rsid w:val="00FC36CA"/>
    <w:rsid w:val="00FC38E0"/>
    <w:rsid w:val="00FC6C49"/>
    <w:rsid w:val="00FD06D2"/>
    <w:rsid w:val="00FD15B9"/>
    <w:rsid w:val="00FD1715"/>
    <w:rsid w:val="00FD216E"/>
    <w:rsid w:val="00FD306F"/>
    <w:rsid w:val="00FD3C31"/>
    <w:rsid w:val="00FD4049"/>
    <w:rsid w:val="00FD4279"/>
    <w:rsid w:val="00FD571C"/>
    <w:rsid w:val="00FD6A03"/>
    <w:rsid w:val="00FE085C"/>
    <w:rsid w:val="00FE1D14"/>
    <w:rsid w:val="00FE2A77"/>
    <w:rsid w:val="00FE3C5D"/>
    <w:rsid w:val="00FE4754"/>
    <w:rsid w:val="00FE4BF9"/>
    <w:rsid w:val="00FE5449"/>
    <w:rsid w:val="00FE6A8C"/>
    <w:rsid w:val="00FE70C3"/>
    <w:rsid w:val="00FE73D3"/>
    <w:rsid w:val="00FE7628"/>
    <w:rsid w:val="00FF0502"/>
    <w:rsid w:val="00FF0BD3"/>
    <w:rsid w:val="00FF0F5B"/>
    <w:rsid w:val="00FF1129"/>
    <w:rsid w:val="00FF2AF9"/>
    <w:rsid w:val="00FF357D"/>
    <w:rsid w:val="00FF36F0"/>
    <w:rsid w:val="00FF41A0"/>
    <w:rsid w:val="00FF4684"/>
    <w:rsid w:val="00FF5A0E"/>
    <w:rsid w:val="00FF618A"/>
    <w:rsid w:val="00FF7685"/>
    <w:rsid w:val="00FF7BC0"/>
    <w:rsid w:val="00FF7EE2"/>
    <w:rsid w:val="3FFAE4BB"/>
    <w:rsid w:val="6F67A393"/>
    <w:rsid w:val="7FEF70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C99F10"/>
  <w15:docId w15:val="{8F3979F9-8F92-4631-8AA6-FCEE0E052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iPriority="0" w:qFormat="1"/>
    <w:lsdException w:name="header" w:uiPriority="0" w:qFormat="1"/>
    <w:lsdException w:name="footer"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semiHidden="1" w:uiPriority="0"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iPriority="0" w:qFormat="1"/>
    <w:lsdException w:name="Strong" w:uiPriority="22" w:qFormat="1"/>
    <w:lsdException w:name="Emphasis" w:uiPriority="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39"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pBdr>
        <w:top w:val="none" w:sz="0" w:space="0" w:color="000000"/>
        <w:left w:val="none" w:sz="0" w:space="0" w:color="000000"/>
        <w:bottom w:val="none" w:sz="0" w:space="0" w:color="000000"/>
        <w:right w:val="none" w:sz="0" w:space="0" w:color="000000"/>
        <w:between w:val="none" w:sz="0" w:space="0" w:color="000000"/>
      </w:pBdr>
      <w:spacing w:after="120"/>
      <w:jc w:val="both"/>
    </w:pPr>
    <w:rPr>
      <w:rFonts w:ascii="Arial" w:hAnsi="Arial"/>
      <w:szCs w:val="22"/>
      <w:lang w:val="en-GB"/>
    </w:rPr>
  </w:style>
  <w:style w:type="paragraph" w:styleId="1">
    <w:name w:val="heading 1"/>
    <w:next w:val="a0"/>
    <w:link w:val="10"/>
    <w:qFormat/>
    <w:pPr>
      <w:keepNext/>
      <w:keepLines/>
      <w:numPr>
        <w:numId w:val="1"/>
      </w:numPr>
      <w:pBdr>
        <w:top w:val="single" w:sz="12" w:space="3" w:color="auto"/>
        <w:left w:val="none" w:sz="0" w:space="0" w:color="000000"/>
        <w:bottom w:val="none" w:sz="0" w:space="0" w:color="000000"/>
        <w:right w:val="none" w:sz="0" w:space="0" w:color="000000"/>
        <w:between w:val="none" w:sz="0" w:space="0" w:color="000000"/>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spacing w:before="180"/>
      <w:outlineLvl w:val="1"/>
    </w:pPr>
    <w:rPr>
      <w:sz w:val="32"/>
      <w:szCs w:val="32"/>
    </w:rPr>
  </w:style>
  <w:style w:type="paragraph" w:styleId="30">
    <w:name w:val="heading 3"/>
    <w:basedOn w:val="20"/>
    <w:next w:val="a0"/>
    <w:link w:val="31"/>
    <w:qFormat/>
    <w:pPr>
      <w:numPr>
        <w:ilvl w:val="2"/>
      </w:numPr>
      <w:tabs>
        <w:tab w:val="left" w:pos="720"/>
      </w:tabs>
      <w:spacing w:before="120"/>
      <w:ind w:left="720"/>
      <w:outlineLvl w:val="2"/>
    </w:pPr>
    <w:rPr>
      <w:sz w:val="28"/>
      <w:szCs w:val="28"/>
    </w:rPr>
  </w:style>
  <w:style w:type="paragraph" w:styleId="4">
    <w:name w:val="heading 4"/>
    <w:basedOn w:val="30"/>
    <w:next w:val="a0"/>
    <w:link w:val="41"/>
    <w:qFormat/>
    <w:pPr>
      <w:numPr>
        <w:ilvl w:val="3"/>
      </w:numPr>
      <w:outlineLvl w:val="3"/>
    </w:pPr>
    <w:rPr>
      <w:sz w:val="24"/>
      <w:szCs w:val="24"/>
    </w:rPr>
  </w:style>
  <w:style w:type="paragraph" w:styleId="50">
    <w:name w:val="heading 5"/>
    <w:basedOn w:val="4"/>
    <w:next w:val="a0"/>
    <w:link w:val="51"/>
    <w:qFormat/>
    <w:pPr>
      <w:numPr>
        <w:ilvl w:val="4"/>
      </w:numPr>
      <w:outlineLvl w:val="4"/>
    </w:pPr>
    <w:rPr>
      <w:sz w:val="22"/>
      <w:szCs w:val="22"/>
    </w:rPr>
  </w:style>
  <w:style w:type="paragraph" w:styleId="6">
    <w:name w:val="heading 6"/>
    <w:basedOn w:val="a0"/>
    <w:next w:val="a0"/>
    <w:link w:val="60"/>
    <w:qFormat/>
    <w:pPr>
      <w:keepNext/>
      <w:keepLines/>
      <w:numPr>
        <w:ilvl w:val="5"/>
        <w:numId w:val="1"/>
      </w:numPr>
      <w:spacing w:before="120"/>
      <w:outlineLvl w:val="5"/>
    </w:pPr>
    <w:rPr>
      <w:rFonts w:cs="Arial"/>
    </w:rPr>
  </w:style>
  <w:style w:type="paragraph" w:styleId="7">
    <w:name w:val="heading 7"/>
    <w:basedOn w:val="a0"/>
    <w:next w:val="a0"/>
    <w:link w:val="70"/>
    <w:qFormat/>
    <w:pPr>
      <w:keepNext/>
      <w:keepLines/>
      <w:numPr>
        <w:ilvl w:val="6"/>
        <w:numId w:val="1"/>
      </w:numPr>
      <w:spacing w:before="120"/>
      <w:outlineLvl w:val="6"/>
    </w:pPr>
    <w:rPr>
      <w:rFonts w:cs="Arial"/>
    </w:rPr>
  </w:style>
  <w:style w:type="paragraph" w:styleId="8">
    <w:name w:val="heading 8"/>
    <w:basedOn w:val="7"/>
    <w:next w:val="a0"/>
    <w:link w:val="80"/>
    <w:qFormat/>
    <w:pPr>
      <w:numPr>
        <w:ilvl w:val="7"/>
      </w:numPr>
      <w:outlineLvl w:val="7"/>
    </w:pPr>
  </w:style>
  <w:style w:type="paragraph" w:styleId="9">
    <w:name w:val="heading 9"/>
    <w:basedOn w:val="8"/>
    <w:next w:val="a0"/>
    <w:link w:val="9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semiHidden/>
    <w:qFormat/>
    <w:rPr>
      <w:rFonts w:ascii="Tahoma" w:hAnsi="Tahoma" w:cs="Tahoma"/>
      <w:sz w:val="16"/>
      <w:szCs w:val="16"/>
    </w:rPr>
  </w:style>
  <w:style w:type="paragraph" w:styleId="a5">
    <w:name w:val="Body Text"/>
    <w:basedOn w:val="a0"/>
    <w:link w:val="11"/>
    <w:qFormat/>
  </w:style>
  <w:style w:type="paragraph" w:styleId="a6">
    <w:name w:val="caption"/>
    <w:basedOn w:val="a0"/>
    <w:next w:val="a0"/>
    <w:qFormat/>
    <w:pPr>
      <w:spacing w:after="240"/>
      <w:jc w:val="center"/>
    </w:pPr>
    <w:rPr>
      <w:b/>
      <w:bCs/>
    </w:rPr>
  </w:style>
  <w:style w:type="character" w:styleId="a7">
    <w:name w:val="annotation reference"/>
    <w:qFormat/>
    <w:rPr>
      <w:sz w:val="16"/>
      <w:szCs w:val="16"/>
    </w:rPr>
  </w:style>
  <w:style w:type="paragraph" w:styleId="a8">
    <w:name w:val="annotation text"/>
    <w:basedOn w:val="a0"/>
    <w:link w:val="a9"/>
    <w:qFormat/>
  </w:style>
  <w:style w:type="paragraph" w:styleId="aa">
    <w:name w:val="annotation subject"/>
    <w:basedOn w:val="a8"/>
    <w:next w:val="a8"/>
    <w:semiHidden/>
    <w:qFormat/>
    <w:rPr>
      <w:b/>
      <w:bCs/>
    </w:rPr>
  </w:style>
  <w:style w:type="paragraph" w:styleId="ab">
    <w:name w:val="Document Map"/>
    <w:basedOn w:val="a0"/>
    <w:semiHidden/>
    <w:qFormat/>
    <w:pPr>
      <w:shd w:val="clear" w:color="auto" w:fill="000080"/>
    </w:pPr>
    <w:rPr>
      <w:rFonts w:ascii="Tahoma" w:hAnsi="Tahoma" w:cs="Tahoma"/>
    </w:rPr>
  </w:style>
  <w:style w:type="character" w:styleId="ac">
    <w:name w:val="Emphasis"/>
    <w:qFormat/>
    <w:rPr>
      <w:i/>
      <w:iCs/>
    </w:rPr>
  </w:style>
  <w:style w:type="character" w:styleId="ad">
    <w:name w:val="endnote reference"/>
    <w:basedOn w:val="a1"/>
    <w:uiPriority w:val="99"/>
    <w:semiHidden/>
    <w:unhideWhenUsed/>
    <w:qFormat/>
    <w:rPr>
      <w:vertAlign w:val="superscript"/>
    </w:rPr>
  </w:style>
  <w:style w:type="paragraph" w:styleId="ae">
    <w:name w:val="endnote text"/>
    <w:basedOn w:val="a0"/>
    <w:link w:val="af"/>
    <w:uiPriority w:val="99"/>
    <w:semiHidden/>
    <w:unhideWhenUsed/>
    <w:qFormat/>
    <w:pPr>
      <w:spacing w:after="0"/>
    </w:pPr>
  </w:style>
  <w:style w:type="character" w:styleId="af0">
    <w:name w:val="FollowedHyperlink"/>
    <w:semiHidden/>
    <w:qFormat/>
    <w:rPr>
      <w:color w:val="FF0000"/>
      <w:u w:val="single"/>
    </w:rPr>
  </w:style>
  <w:style w:type="paragraph" w:styleId="af1">
    <w:name w:val="footer"/>
    <w:basedOn w:val="af2"/>
    <w:link w:val="af3"/>
    <w:uiPriority w:val="99"/>
    <w:qFormat/>
    <w:pPr>
      <w:jc w:val="center"/>
    </w:pPr>
    <w:rPr>
      <w:i/>
      <w:iCs/>
    </w:rPr>
  </w:style>
  <w:style w:type="paragraph" w:styleId="af2">
    <w:name w:val="header"/>
    <w:link w:val="af4"/>
    <w:qFormat/>
    <w:pPr>
      <w:widowControl w:val="0"/>
      <w:pBdr>
        <w:top w:val="none" w:sz="0" w:space="0" w:color="000000"/>
        <w:left w:val="none" w:sz="0" w:space="0" w:color="000000"/>
        <w:bottom w:val="none" w:sz="0" w:space="0" w:color="000000"/>
        <w:right w:val="none" w:sz="0" w:space="0" w:color="000000"/>
        <w:between w:val="none" w:sz="0" w:space="0" w:color="000000"/>
      </w:pBdr>
    </w:pPr>
    <w:rPr>
      <w:rFonts w:ascii="Arial" w:hAnsi="Arial"/>
      <w:b/>
      <w:bCs/>
      <w:sz w:val="18"/>
      <w:szCs w:val="18"/>
    </w:rPr>
  </w:style>
  <w:style w:type="character" w:styleId="af5">
    <w:name w:val="footnote reference"/>
    <w:semiHidden/>
    <w:qFormat/>
    <w:rPr>
      <w:b/>
      <w:bCs/>
      <w:position w:val="6"/>
      <w:sz w:val="16"/>
      <w:szCs w:val="16"/>
    </w:rPr>
  </w:style>
  <w:style w:type="paragraph" w:styleId="af6">
    <w:name w:val="footnote text"/>
    <w:basedOn w:val="a0"/>
    <w:link w:val="af7"/>
    <w:semiHidden/>
    <w:qFormat/>
    <w:pPr>
      <w:keepLines/>
      <w:spacing w:after="0"/>
      <w:ind w:left="454" w:hanging="454"/>
    </w:pPr>
    <w:rPr>
      <w:sz w:val="16"/>
      <w:szCs w:val="16"/>
    </w:rPr>
  </w:style>
  <w:style w:type="character" w:styleId="af8">
    <w:name w:val="Hyperlink"/>
    <w:uiPriority w:val="99"/>
    <w:qFormat/>
    <w:rPr>
      <w:color w:val="0000FF"/>
      <w:u w:val="single"/>
      <w:lang w:val="en-GB"/>
    </w:rPr>
  </w:style>
  <w:style w:type="paragraph" w:styleId="12">
    <w:name w:val="index 1"/>
    <w:basedOn w:val="a0"/>
    <w:next w:val="a0"/>
    <w:semiHidden/>
    <w:qFormat/>
    <w:pPr>
      <w:keepLines/>
      <w:spacing w:after="0"/>
    </w:pPr>
  </w:style>
  <w:style w:type="paragraph" w:styleId="22">
    <w:name w:val="index 2"/>
    <w:basedOn w:val="12"/>
    <w:next w:val="a0"/>
    <w:semiHidden/>
    <w:qFormat/>
    <w:pPr>
      <w:ind w:left="284"/>
    </w:pPr>
  </w:style>
  <w:style w:type="paragraph" w:styleId="af9">
    <w:name w:val="List"/>
    <w:basedOn w:val="a0"/>
    <w:qFormat/>
    <w:pPr>
      <w:ind w:left="568" w:hanging="284"/>
    </w:pPr>
  </w:style>
  <w:style w:type="paragraph" w:styleId="23">
    <w:name w:val="List 2"/>
    <w:basedOn w:val="af9"/>
    <w:qFormat/>
    <w:pPr>
      <w:ind w:left="851"/>
    </w:pPr>
  </w:style>
  <w:style w:type="paragraph" w:styleId="32">
    <w:name w:val="List 3"/>
    <w:basedOn w:val="23"/>
    <w:qFormat/>
    <w:pPr>
      <w:ind w:left="1135"/>
    </w:pPr>
  </w:style>
  <w:style w:type="paragraph" w:styleId="42">
    <w:name w:val="List 4"/>
    <w:basedOn w:val="32"/>
    <w:qFormat/>
    <w:pPr>
      <w:ind w:left="1418"/>
    </w:pPr>
  </w:style>
  <w:style w:type="paragraph" w:styleId="52">
    <w:name w:val="List 5"/>
    <w:basedOn w:val="42"/>
    <w:qFormat/>
    <w:pPr>
      <w:ind w:left="1702"/>
    </w:pPr>
  </w:style>
  <w:style w:type="paragraph" w:styleId="a">
    <w:name w:val="List Bullet"/>
    <w:basedOn w:val="a5"/>
    <w:qFormat/>
    <w:pPr>
      <w:numPr>
        <w:numId w:val="2"/>
      </w:numPr>
    </w:pPr>
  </w:style>
  <w:style w:type="paragraph" w:styleId="2">
    <w:name w:val="List Bullet 2"/>
    <w:basedOn w:val="a"/>
    <w:qFormat/>
    <w:pPr>
      <w:numPr>
        <w:numId w:val="3"/>
      </w:numPr>
    </w:pPr>
  </w:style>
  <w:style w:type="paragraph" w:styleId="3">
    <w:name w:val="List Bullet 3"/>
    <w:basedOn w:val="2"/>
    <w:qFormat/>
    <w:pPr>
      <w:numPr>
        <w:numId w:val="4"/>
      </w:numPr>
    </w:pPr>
  </w:style>
  <w:style w:type="paragraph" w:styleId="40">
    <w:name w:val="List Bullet 4"/>
    <w:basedOn w:val="3"/>
    <w:qFormat/>
    <w:pPr>
      <w:numPr>
        <w:numId w:val="5"/>
      </w:numPr>
    </w:pPr>
  </w:style>
  <w:style w:type="paragraph" w:styleId="5">
    <w:name w:val="List Bullet 5"/>
    <w:basedOn w:val="40"/>
    <w:qFormat/>
    <w:pPr>
      <w:numPr>
        <w:numId w:val="6"/>
      </w:numPr>
    </w:pPr>
  </w:style>
  <w:style w:type="paragraph" w:styleId="afa">
    <w:name w:val="List Number"/>
    <w:basedOn w:val="af9"/>
    <w:qFormat/>
  </w:style>
  <w:style w:type="paragraph" w:styleId="24">
    <w:name w:val="List Number 2"/>
    <w:basedOn w:val="afa"/>
    <w:qFormat/>
    <w:pPr>
      <w:ind w:left="851"/>
    </w:pPr>
  </w:style>
  <w:style w:type="paragraph" w:styleId="afb">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c">
    <w:name w:val="page number"/>
    <w:basedOn w:val="a1"/>
    <w:semiHidden/>
    <w:qFormat/>
  </w:style>
  <w:style w:type="character" w:styleId="afd">
    <w:name w:val="Strong"/>
    <w:basedOn w:val="a1"/>
    <w:uiPriority w:val="22"/>
    <w:qFormat/>
    <w:rPr>
      <w:b/>
      <w:bCs/>
    </w:rPr>
  </w:style>
  <w:style w:type="paragraph" w:styleId="afe">
    <w:name w:val="Subtitle"/>
    <w:basedOn w:val="a0"/>
    <w:next w:val="a0"/>
    <w:link w:val="aff"/>
    <w:uiPriority w:val="11"/>
    <w:qFormat/>
    <w:pPr>
      <w:spacing w:before="200" w:after="200"/>
    </w:pPr>
    <w:rPr>
      <w:sz w:val="24"/>
      <w:szCs w:val="24"/>
    </w:rPr>
  </w:style>
  <w:style w:type="table" w:styleId="aff0">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1">
    <w:name w:val="table of figures"/>
    <w:basedOn w:val="a0"/>
    <w:next w:val="a0"/>
    <w:uiPriority w:val="99"/>
    <w:qFormat/>
    <w:pPr>
      <w:ind w:left="1418" w:hanging="1418"/>
      <w:jc w:val="left"/>
    </w:pPr>
    <w:rPr>
      <w:b/>
    </w:rPr>
  </w:style>
  <w:style w:type="paragraph" w:styleId="aff2">
    <w:name w:val="Title"/>
    <w:basedOn w:val="a0"/>
    <w:next w:val="a0"/>
    <w:link w:val="aff3"/>
    <w:uiPriority w:val="10"/>
    <w:qFormat/>
    <w:pPr>
      <w:spacing w:before="300" w:after="200"/>
      <w:contextualSpacing/>
    </w:pPr>
    <w:rPr>
      <w:sz w:val="48"/>
      <w:szCs w:val="48"/>
    </w:rPr>
  </w:style>
  <w:style w:type="paragraph" w:styleId="TOC1">
    <w:name w:val="toc 1"/>
    <w:next w:val="a0"/>
    <w:uiPriority w:val="39"/>
    <w:qFormat/>
    <w:pPr>
      <w:keepNext/>
      <w:keepLines/>
      <w:widowControl w:val="0"/>
      <w:pBdr>
        <w:top w:val="none" w:sz="0" w:space="0" w:color="000000"/>
        <w:left w:val="none" w:sz="0" w:space="0" w:color="000000"/>
        <w:bottom w:val="none" w:sz="0" w:space="0" w:color="000000"/>
        <w:right w:val="none" w:sz="0" w:space="0" w:color="000000"/>
        <w:between w:val="none" w:sz="0" w:space="0" w:color="000000"/>
      </w:pBdr>
      <w:tabs>
        <w:tab w:val="left" w:pos="1701"/>
      </w:tabs>
      <w:spacing w:before="120"/>
      <w:ind w:left="1701" w:hanging="1701"/>
    </w:pPr>
    <w:rPr>
      <w:rFonts w:ascii="Arial" w:hAnsi="Arial"/>
      <w:b/>
      <w:sz w:val="22"/>
      <w:szCs w:val="22"/>
    </w:rPr>
  </w:style>
  <w:style w:type="paragraph" w:styleId="TOC2">
    <w:name w:val="toc 2"/>
    <w:basedOn w:val="TOC1"/>
    <w:next w:val="a0"/>
    <w:semiHidden/>
    <w:qFormat/>
    <w:pPr>
      <w:keepNext w:val="0"/>
      <w:spacing w:before="0"/>
      <w:ind w:left="851" w:hanging="851"/>
    </w:pPr>
    <w:rPr>
      <w:sz w:val="20"/>
      <w:szCs w:val="20"/>
    </w:rPr>
  </w:style>
  <w:style w:type="paragraph" w:styleId="TOC3">
    <w:name w:val="toc 3"/>
    <w:basedOn w:val="TOC2"/>
    <w:next w:val="a0"/>
    <w:semiHidden/>
    <w:qFormat/>
    <w:pPr>
      <w:ind w:left="1134" w:hanging="1134"/>
    </w:pPr>
  </w:style>
  <w:style w:type="paragraph" w:styleId="TOC4">
    <w:name w:val="toc 4"/>
    <w:basedOn w:val="TOC3"/>
    <w:next w:val="a0"/>
    <w:semiHidden/>
    <w:qFormat/>
    <w:pPr>
      <w:ind w:left="1418" w:hanging="1418"/>
    </w:pPr>
  </w:style>
  <w:style w:type="paragraph" w:styleId="TOC5">
    <w:name w:val="toc 5"/>
    <w:basedOn w:val="TOC4"/>
    <w:next w:val="a0"/>
    <w:semiHidden/>
    <w:qFormat/>
    <w:pPr>
      <w:tabs>
        <w:tab w:val="right" w:pos="1701"/>
      </w:tabs>
      <w:ind w:left="1701" w:hanging="1701"/>
    </w:pPr>
  </w:style>
  <w:style w:type="paragraph" w:styleId="TOC6">
    <w:name w:val="toc 6"/>
    <w:basedOn w:val="TOC5"/>
    <w:next w:val="a0"/>
    <w:semiHidden/>
    <w:qFormat/>
    <w:pPr>
      <w:ind w:left="1985" w:hanging="1985"/>
    </w:pPr>
  </w:style>
  <w:style w:type="paragraph" w:styleId="TOC7">
    <w:name w:val="toc 7"/>
    <w:basedOn w:val="TOC6"/>
    <w:next w:val="a0"/>
    <w:semiHidden/>
    <w:qFormat/>
    <w:pPr>
      <w:ind w:left="2268" w:hanging="2268"/>
    </w:pPr>
  </w:style>
  <w:style w:type="paragraph" w:styleId="TOC8">
    <w:name w:val="toc 8"/>
    <w:basedOn w:val="TOC1"/>
    <w:next w:val="a0"/>
    <w:semiHidden/>
    <w:qFormat/>
    <w:pPr>
      <w:spacing w:before="180"/>
      <w:ind w:left="2693" w:hanging="2693"/>
    </w:pPr>
    <w:rPr>
      <w:b w:val="0"/>
      <w:bCs/>
    </w:rPr>
  </w:style>
  <w:style w:type="paragraph" w:styleId="TOC9">
    <w:name w:val="toc 9"/>
    <w:basedOn w:val="TOC8"/>
    <w:next w:val="a0"/>
    <w:semiHidden/>
    <w:qFormat/>
    <w:pPr>
      <w:ind w:left="1418" w:hanging="1418"/>
    </w:pPr>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qFormat/>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qFormat/>
    <w:rPr>
      <w:rFonts w:ascii="Arial" w:hAnsi="Arial"/>
      <w:sz w:val="22"/>
      <w:lang w:val="en-GB"/>
    </w:rPr>
  </w:style>
  <w:style w:type="character" w:customStyle="1" w:styleId="60">
    <w:name w:val="标题 6 字符"/>
    <w:basedOn w:val="a1"/>
    <w:link w:val="6"/>
    <w:qFormat/>
    <w:rPr>
      <w:rFonts w:ascii="Arial" w:hAnsi="Arial" w:cs="Arial"/>
      <w:lang w:val="en-GB"/>
    </w:rPr>
  </w:style>
  <w:style w:type="character" w:customStyle="1" w:styleId="70">
    <w:name w:val="标题 7 字符"/>
    <w:basedOn w:val="a1"/>
    <w:link w:val="7"/>
    <w:qFormat/>
    <w:rPr>
      <w:rFonts w:ascii="Arial" w:hAnsi="Arial" w:cs="Arial"/>
      <w:lang w:val="en-GB"/>
    </w:rPr>
  </w:style>
  <w:style w:type="character" w:customStyle="1" w:styleId="80">
    <w:name w:val="标题 8 字符"/>
    <w:basedOn w:val="a1"/>
    <w:link w:val="8"/>
    <w:qFormat/>
    <w:rPr>
      <w:rFonts w:ascii="Arial" w:hAnsi="Arial" w:cs="Arial"/>
      <w:lang w:val="en-GB"/>
    </w:rPr>
  </w:style>
  <w:style w:type="character" w:customStyle="1" w:styleId="90">
    <w:name w:val="标题 9 字符"/>
    <w:basedOn w:val="a1"/>
    <w:link w:val="9"/>
    <w:qFormat/>
    <w:rPr>
      <w:rFonts w:ascii="Arial" w:hAnsi="Arial" w:cs="Arial"/>
      <w:lang w:val="en-GB"/>
    </w:rPr>
  </w:style>
  <w:style w:type="paragraph" w:styleId="aff4">
    <w:name w:val="No Spacing"/>
    <w:uiPriority w:val="1"/>
    <w:qFormat/>
    <w:pPr>
      <w:pBdr>
        <w:top w:val="none" w:sz="0" w:space="0" w:color="000000"/>
        <w:left w:val="none" w:sz="0" w:space="0" w:color="000000"/>
        <w:bottom w:val="none" w:sz="0" w:space="0" w:color="000000"/>
        <w:right w:val="none" w:sz="0" w:space="0" w:color="000000"/>
        <w:between w:val="none" w:sz="0" w:space="0" w:color="000000"/>
      </w:pBdr>
    </w:pPr>
    <w:rPr>
      <w:szCs w:val="22"/>
    </w:rPr>
  </w:style>
  <w:style w:type="character" w:customStyle="1" w:styleId="aff3">
    <w:name w:val="标题 字符"/>
    <w:basedOn w:val="a1"/>
    <w:link w:val="aff2"/>
    <w:uiPriority w:val="10"/>
    <w:qFormat/>
    <w:rPr>
      <w:sz w:val="48"/>
      <w:szCs w:val="48"/>
    </w:rPr>
  </w:style>
  <w:style w:type="character" w:customStyle="1" w:styleId="aff">
    <w:name w:val="副标题 字符"/>
    <w:basedOn w:val="a1"/>
    <w:link w:val="afe"/>
    <w:uiPriority w:val="11"/>
    <w:qFormat/>
    <w:rPr>
      <w:sz w:val="24"/>
      <w:szCs w:val="24"/>
    </w:rPr>
  </w:style>
  <w:style w:type="paragraph" w:styleId="aff5">
    <w:name w:val="Quote"/>
    <w:basedOn w:val="a0"/>
    <w:next w:val="a0"/>
    <w:link w:val="aff6"/>
    <w:uiPriority w:val="29"/>
    <w:qFormat/>
    <w:pPr>
      <w:ind w:left="720" w:right="720"/>
    </w:pPr>
    <w:rPr>
      <w:i/>
    </w:rPr>
  </w:style>
  <w:style w:type="character" w:customStyle="1" w:styleId="aff6">
    <w:name w:val="引用 字符"/>
    <w:link w:val="aff5"/>
    <w:uiPriority w:val="29"/>
    <w:qFormat/>
    <w:rPr>
      <w:i/>
    </w:rPr>
  </w:style>
  <w:style w:type="paragraph" w:styleId="aff7">
    <w:name w:val="Intense Quote"/>
    <w:basedOn w:val="a0"/>
    <w:next w:val="a0"/>
    <w:link w:val="aff8"/>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f8">
    <w:name w:val="明显引用 字符"/>
    <w:link w:val="aff7"/>
    <w:uiPriority w:val="30"/>
    <w:rPr>
      <w:i/>
    </w:rPr>
  </w:style>
  <w:style w:type="character" w:customStyle="1" w:styleId="HeaderChar">
    <w:name w:val="Header Char"/>
    <w:basedOn w:val="a1"/>
    <w:uiPriority w:val="99"/>
  </w:style>
  <w:style w:type="character" w:customStyle="1" w:styleId="FooterChar">
    <w:name w:val="Footer Char"/>
    <w:basedOn w:val="a1"/>
    <w:uiPriority w:val="99"/>
    <w:qFormat/>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0">
    <w:name w:val="无格式表格 11"/>
    <w:basedOn w:val="a2"/>
    <w:uiPriority w:val="59"/>
    <w:qFormat/>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customStyle="1" w:styleId="210">
    <w:name w:val="无格式表格 21"/>
    <w:basedOn w:val="a2"/>
    <w:uiPriority w:val="59"/>
    <w:qFormat/>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0">
    <w:name w:val="无格式表格 31"/>
    <w:basedOn w:val="a2"/>
    <w:uiPriority w:val="99"/>
    <w:qFormat/>
    <w:tblPr/>
    <w:tblStylePr w:type="firstRow">
      <w:rPr>
        <w:b/>
        <w:caps/>
        <w:color w:val="404040"/>
      </w:rPr>
      <w:tblPr/>
      <w:tcPr>
        <w:tcBorders>
          <w:top w:val="nil"/>
          <w:left w:val="nil"/>
          <w:bottom w:val="single" w:sz="4" w:space="0" w:color="404040"/>
          <w:right w:val="nil"/>
        </w:tcBorders>
      </w:tcPr>
    </w:tblStylePr>
    <w:tblStylePr w:type="lastRow">
      <w:rPr>
        <w:b/>
        <w:caps/>
        <w:color w:val="404040"/>
      </w:rPr>
    </w:tblStylePr>
    <w:tblStylePr w:type="firstCol">
      <w:rPr>
        <w:b/>
        <w:caps/>
        <w:color w:val="404040"/>
      </w:rPr>
      <w:tblPr/>
      <w:tcPr>
        <w:tcBorders>
          <w:top w:val="nil"/>
          <w:left w:val="nil"/>
          <w:bottom w:val="nil"/>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410">
    <w:name w:val="无格式表格 41"/>
    <w:basedOn w:val="a2"/>
    <w:uiPriority w:val="99"/>
    <w:qFormat/>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510">
    <w:name w:val="无格式表格 51"/>
    <w:basedOn w:val="a2"/>
    <w:uiPriority w:val="99"/>
    <w:qFormat/>
    <w:tblPr/>
    <w:tblStylePr w:type="firstRow">
      <w:rPr>
        <w:i/>
        <w:color w:val="404040"/>
      </w:rPr>
      <w:tblPr/>
      <w:tcPr>
        <w:tcBorders>
          <w:left w:val="nil"/>
          <w:bottom w:val="single" w:sz="4" w:space="0" w:color="404040"/>
          <w:right w:val="nil"/>
        </w:tcBorders>
        <w:shd w:val="clear" w:color="auto" w:fill="FFFFFF"/>
      </w:tcPr>
    </w:tblStylePr>
    <w:tblStylePr w:type="lastRow">
      <w:rPr>
        <w:i/>
        <w:color w:val="404040"/>
      </w:rPr>
      <w:tblPr/>
      <w:tcPr>
        <w:tcBorders>
          <w:top w:val="single" w:sz="4" w:space="0" w:color="404040"/>
          <w:left w:val="nil"/>
          <w:right w:val="nil"/>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111">
    <w:name w:val="网格表 1 浅色1"/>
    <w:basedOn w:val="a2"/>
    <w:uiPriority w:val="99"/>
    <w:qFormat/>
    <w:tblPr>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qFormat/>
    <w:tblPr>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qFormat/>
    <w:tblPr>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qFormat/>
    <w:tblPr>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qFormat/>
    <w:tblPr>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qFormat/>
    <w:tblPr>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qFormat/>
    <w:tblPr>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211">
    <w:name w:val="网格表 21"/>
    <w:basedOn w:val="a2"/>
    <w:uiPriority w:val="99"/>
    <w:qFormat/>
    <w:tblPr>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il"/>
          <w:left w:val="nil"/>
          <w:bottom w:val="single" w:sz="12" w:space="0" w:color="6A6A6A" w:themeColor="text1" w:themeTint="95"/>
          <w:right w:val="nil"/>
        </w:tcBorders>
        <w:shd w:val="clear" w:color="auto" w:fill="FFFFFF"/>
      </w:tcPr>
    </w:tblStylePr>
    <w:tblStylePr w:type="lastRow">
      <w:rPr>
        <w:b/>
        <w:color w:val="404040"/>
      </w:rPr>
      <w:tblPr/>
      <w:tcPr>
        <w:tcBorders>
          <w:top w:val="single" w:sz="4" w:space="0" w:color="6A6A6A" w:themeColor="text1" w:themeTint="95"/>
          <w:left w:val="nil"/>
          <w:bottom w:val="nil"/>
          <w:right w:val="nil"/>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qFormat/>
    <w:tblPr>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il"/>
          <w:left w:val="nil"/>
          <w:bottom w:val="single" w:sz="12" w:space="0" w:color="537DC8" w:themeColor="accent1" w:themeTint="EA"/>
          <w:right w:val="nil"/>
        </w:tcBorders>
        <w:shd w:val="clear" w:color="auto" w:fill="FFFFFF"/>
      </w:tcPr>
    </w:tblStylePr>
    <w:tblStylePr w:type="lastRow">
      <w:rPr>
        <w:b/>
        <w:color w:val="404040"/>
      </w:rPr>
      <w:tblPr/>
      <w:tcPr>
        <w:tcBorders>
          <w:top w:val="single" w:sz="4" w:space="0" w:color="537DC8" w:themeColor="accent1" w:themeTint="EA"/>
          <w:left w:val="nil"/>
          <w:bottom w:val="nil"/>
          <w:right w:val="nil"/>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qFormat/>
    <w:tblPr>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il"/>
          <w:left w:val="nil"/>
          <w:bottom w:val="single" w:sz="12" w:space="0" w:color="F4B184" w:themeColor="accent2" w:themeTint="97"/>
          <w:right w:val="nil"/>
        </w:tcBorders>
        <w:shd w:val="clear" w:color="auto" w:fill="FFFFFF"/>
      </w:tcPr>
    </w:tblStylePr>
    <w:tblStylePr w:type="lastRow">
      <w:rPr>
        <w:b/>
        <w:color w:val="404040"/>
      </w:rPr>
      <w:tblPr/>
      <w:tcPr>
        <w:tcBorders>
          <w:top w:val="single" w:sz="4" w:space="0" w:color="F4B184" w:themeColor="accent2" w:themeTint="97"/>
          <w:left w:val="nil"/>
          <w:bottom w:val="nil"/>
          <w:right w:val="nil"/>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qFormat/>
    <w:tblPr>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il"/>
          <w:left w:val="nil"/>
          <w:bottom w:val="single" w:sz="12" w:space="0" w:color="A5A5A5" w:themeColor="accent3" w:themeTint="FE"/>
          <w:right w:val="nil"/>
        </w:tcBorders>
        <w:shd w:val="clear" w:color="auto" w:fill="FFFFFF"/>
      </w:tcPr>
    </w:tblStylePr>
    <w:tblStylePr w:type="lastRow">
      <w:rPr>
        <w:b/>
        <w:color w:val="404040"/>
      </w:rPr>
      <w:tblPr/>
      <w:tcPr>
        <w:tcBorders>
          <w:top w:val="single" w:sz="4" w:space="0" w:color="A5A5A5" w:themeColor="accent3" w:themeTint="FE"/>
          <w:left w:val="nil"/>
          <w:bottom w:val="nil"/>
          <w:right w:val="nil"/>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qFormat/>
    <w:tblPr>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il"/>
          <w:left w:val="nil"/>
          <w:bottom w:val="single" w:sz="12" w:space="0" w:color="FFD865" w:themeColor="accent4" w:themeTint="9A"/>
          <w:right w:val="nil"/>
        </w:tcBorders>
        <w:shd w:val="clear" w:color="auto" w:fill="FFFFFF"/>
      </w:tcPr>
    </w:tblStylePr>
    <w:tblStylePr w:type="lastRow">
      <w:rPr>
        <w:b/>
        <w:color w:val="404040"/>
      </w:rPr>
      <w:tblPr/>
      <w:tcPr>
        <w:tcBorders>
          <w:top w:val="single" w:sz="4" w:space="0" w:color="FFD865" w:themeColor="accent4" w:themeTint="9A"/>
          <w:left w:val="nil"/>
          <w:bottom w:val="nil"/>
          <w:right w:val="nil"/>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qFormat/>
    <w:tblPr>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il"/>
          <w:left w:val="nil"/>
          <w:bottom w:val="single" w:sz="12" w:space="0" w:color="5B9BD5" w:themeColor="accent5"/>
          <w:right w:val="nil"/>
        </w:tcBorders>
        <w:shd w:val="clear" w:color="auto" w:fill="FFFFFF"/>
      </w:tcPr>
    </w:tblStylePr>
    <w:tblStylePr w:type="lastRow">
      <w:rPr>
        <w:b/>
        <w:color w:val="404040"/>
      </w:rPr>
      <w:tblPr/>
      <w:tcPr>
        <w:tcBorders>
          <w:top w:val="single" w:sz="4" w:space="0" w:color="5B9BD5" w:themeColor="accent5"/>
          <w:left w:val="nil"/>
          <w:bottom w:val="nil"/>
          <w:right w:val="nil"/>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qFormat/>
    <w:tblPr>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il"/>
          <w:left w:val="nil"/>
          <w:bottom w:val="single" w:sz="12" w:space="0" w:color="70AD47" w:themeColor="accent6"/>
          <w:right w:val="nil"/>
        </w:tcBorders>
        <w:shd w:val="clear" w:color="auto" w:fill="FFFFFF"/>
      </w:tcPr>
    </w:tblStylePr>
    <w:tblStylePr w:type="lastRow">
      <w:rPr>
        <w:b/>
        <w:color w:val="404040"/>
      </w:rPr>
      <w:tblPr/>
      <w:tcPr>
        <w:tcBorders>
          <w:top w:val="single" w:sz="4" w:space="0" w:color="70AD47" w:themeColor="accent6"/>
          <w:left w:val="nil"/>
          <w:bottom w:val="nil"/>
          <w:right w:val="nil"/>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customStyle="1" w:styleId="311">
    <w:name w:val="网格表 31"/>
    <w:basedOn w:val="a2"/>
    <w:uiPriority w:val="99"/>
    <w:qFormat/>
    <w:tblPr>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il"/>
          <w:left w:val="nil"/>
          <w:bottom w:val="nil"/>
          <w:right w:val="nil"/>
        </w:tcBorders>
        <w:shd w:val="clear" w:color="auto" w:fill="FFFFFF"/>
      </w:tcPr>
    </w:tblStylePr>
    <w:tblStylePr w:type="lastRow">
      <w:rPr>
        <w:b/>
        <w:color w:val="404040"/>
      </w:rPr>
      <w:tblPr/>
      <w:tcPr>
        <w:tcBorders>
          <w:top w:val="nil"/>
          <w:left w:val="nil"/>
          <w:bottom w:val="nil"/>
          <w:right w:val="nil"/>
        </w:tcBorders>
        <w:shd w:val="clear" w:color="auto" w:fill="FFFFFF"/>
      </w:tcPr>
    </w:tblStylePr>
    <w:tblStylePr w:type="firstCol">
      <w:pPr>
        <w:jc w:val="right"/>
      </w:pPr>
      <w:rPr>
        <w:i/>
        <w:color w:val="404040"/>
      </w:rPr>
      <w:tblPr/>
      <w:tcPr>
        <w:tcBorders>
          <w:top w:val="nil"/>
          <w:left w:val="nil"/>
          <w:bottom w:val="nil"/>
          <w:right w:val="nil"/>
        </w:tcBorders>
        <w:shd w:val="clear" w:color="auto" w:fill="FFFFFF"/>
      </w:tcPr>
    </w:tblStylePr>
    <w:tblStylePr w:type="lastCol">
      <w:rPr>
        <w:i/>
        <w:color w:val="404040"/>
      </w:rPr>
      <w:tblPr/>
      <w:tcPr>
        <w:tcBorders>
          <w:top w:val="nil"/>
          <w:left w:val="nil"/>
          <w:bottom w:val="nil"/>
          <w:right w:val="nil"/>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qFormat/>
    <w:tblPr>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il"/>
          <w:left w:val="nil"/>
          <w:bottom w:val="nil"/>
          <w:right w:val="nil"/>
        </w:tcBorders>
        <w:shd w:val="clear" w:color="auto" w:fill="FFFFFF"/>
      </w:tcPr>
    </w:tblStylePr>
    <w:tblStylePr w:type="lastRow">
      <w:rPr>
        <w:b/>
        <w:color w:val="404040"/>
      </w:rPr>
      <w:tblPr/>
      <w:tcPr>
        <w:tcBorders>
          <w:top w:val="nil"/>
          <w:left w:val="nil"/>
          <w:bottom w:val="nil"/>
          <w:right w:val="nil"/>
        </w:tcBorders>
        <w:shd w:val="clear" w:color="auto" w:fill="FFFFFF"/>
      </w:tcPr>
    </w:tblStylePr>
    <w:tblStylePr w:type="firstCol">
      <w:pPr>
        <w:jc w:val="right"/>
      </w:pPr>
      <w:rPr>
        <w:i/>
        <w:color w:val="404040"/>
      </w:rPr>
      <w:tblPr/>
      <w:tcPr>
        <w:tcBorders>
          <w:top w:val="nil"/>
          <w:left w:val="nil"/>
          <w:bottom w:val="nil"/>
          <w:right w:val="nil"/>
        </w:tcBorders>
        <w:shd w:val="clear" w:color="auto" w:fill="FFFFFF"/>
      </w:tcPr>
    </w:tblStylePr>
    <w:tblStylePr w:type="lastCol">
      <w:rPr>
        <w:i/>
        <w:color w:val="404040"/>
      </w:rPr>
      <w:tblPr/>
      <w:tcPr>
        <w:tcBorders>
          <w:top w:val="nil"/>
          <w:left w:val="nil"/>
          <w:bottom w:val="nil"/>
          <w:right w:val="nil"/>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qFormat/>
    <w:tblPr>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il"/>
          <w:left w:val="nil"/>
          <w:bottom w:val="nil"/>
          <w:right w:val="nil"/>
        </w:tcBorders>
        <w:shd w:val="clear" w:color="auto" w:fill="FFFFFF"/>
      </w:tcPr>
    </w:tblStylePr>
    <w:tblStylePr w:type="lastRow">
      <w:rPr>
        <w:b/>
        <w:color w:val="404040"/>
      </w:rPr>
      <w:tblPr/>
      <w:tcPr>
        <w:tcBorders>
          <w:top w:val="nil"/>
          <w:left w:val="nil"/>
          <w:bottom w:val="nil"/>
          <w:right w:val="nil"/>
        </w:tcBorders>
        <w:shd w:val="clear" w:color="auto" w:fill="FFFFFF"/>
      </w:tcPr>
    </w:tblStylePr>
    <w:tblStylePr w:type="firstCol">
      <w:pPr>
        <w:jc w:val="right"/>
      </w:pPr>
      <w:rPr>
        <w:i/>
        <w:color w:val="404040"/>
      </w:rPr>
      <w:tblPr/>
      <w:tcPr>
        <w:tcBorders>
          <w:top w:val="nil"/>
          <w:left w:val="nil"/>
          <w:bottom w:val="nil"/>
          <w:right w:val="nil"/>
        </w:tcBorders>
        <w:shd w:val="clear" w:color="auto" w:fill="FFFFFF"/>
      </w:tcPr>
    </w:tblStylePr>
    <w:tblStylePr w:type="lastCol">
      <w:rPr>
        <w:i/>
        <w:color w:val="404040"/>
      </w:rPr>
      <w:tblPr/>
      <w:tcPr>
        <w:tcBorders>
          <w:top w:val="nil"/>
          <w:left w:val="nil"/>
          <w:bottom w:val="nil"/>
          <w:right w:val="nil"/>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qFormat/>
    <w:tblPr>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il"/>
          <w:left w:val="nil"/>
          <w:bottom w:val="nil"/>
          <w:right w:val="nil"/>
        </w:tcBorders>
        <w:shd w:val="clear" w:color="auto" w:fill="FFFFFF"/>
      </w:tcPr>
    </w:tblStylePr>
    <w:tblStylePr w:type="lastRow">
      <w:rPr>
        <w:b/>
        <w:color w:val="404040"/>
      </w:rPr>
      <w:tblPr/>
      <w:tcPr>
        <w:tcBorders>
          <w:top w:val="nil"/>
          <w:left w:val="nil"/>
          <w:bottom w:val="nil"/>
          <w:right w:val="nil"/>
        </w:tcBorders>
        <w:shd w:val="clear" w:color="auto" w:fill="FFFFFF"/>
      </w:tcPr>
    </w:tblStylePr>
    <w:tblStylePr w:type="firstCol">
      <w:pPr>
        <w:jc w:val="right"/>
      </w:pPr>
      <w:rPr>
        <w:i/>
        <w:color w:val="404040"/>
      </w:rPr>
      <w:tblPr/>
      <w:tcPr>
        <w:tcBorders>
          <w:top w:val="nil"/>
          <w:left w:val="nil"/>
          <w:bottom w:val="nil"/>
          <w:right w:val="nil"/>
        </w:tcBorders>
        <w:shd w:val="clear" w:color="auto" w:fill="FFFFFF"/>
      </w:tcPr>
    </w:tblStylePr>
    <w:tblStylePr w:type="lastCol">
      <w:rPr>
        <w:i/>
        <w:color w:val="404040"/>
      </w:rPr>
      <w:tblPr/>
      <w:tcPr>
        <w:tcBorders>
          <w:top w:val="nil"/>
          <w:left w:val="nil"/>
          <w:bottom w:val="nil"/>
          <w:right w:val="nil"/>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qFormat/>
    <w:tblPr>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il"/>
          <w:left w:val="nil"/>
          <w:bottom w:val="nil"/>
          <w:right w:val="nil"/>
        </w:tcBorders>
        <w:shd w:val="clear" w:color="auto" w:fill="FFFFFF"/>
      </w:tcPr>
    </w:tblStylePr>
    <w:tblStylePr w:type="lastRow">
      <w:rPr>
        <w:b/>
        <w:color w:val="404040"/>
      </w:rPr>
      <w:tblPr/>
      <w:tcPr>
        <w:tcBorders>
          <w:top w:val="nil"/>
          <w:left w:val="nil"/>
          <w:bottom w:val="nil"/>
          <w:right w:val="nil"/>
        </w:tcBorders>
        <w:shd w:val="clear" w:color="auto" w:fill="FFFFFF"/>
      </w:tcPr>
    </w:tblStylePr>
    <w:tblStylePr w:type="firstCol">
      <w:pPr>
        <w:jc w:val="right"/>
      </w:pPr>
      <w:rPr>
        <w:i/>
        <w:color w:val="404040"/>
      </w:rPr>
      <w:tblPr/>
      <w:tcPr>
        <w:tcBorders>
          <w:top w:val="nil"/>
          <w:left w:val="nil"/>
          <w:bottom w:val="nil"/>
          <w:right w:val="nil"/>
        </w:tcBorders>
        <w:shd w:val="clear" w:color="auto" w:fill="FFFFFF"/>
      </w:tcPr>
    </w:tblStylePr>
    <w:tblStylePr w:type="lastCol">
      <w:rPr>
        <w:i/>
        <w:color w:val="404040"/>
      </w:rPr>
      <w:tblPr/>
      <w:tcPr>
        <w:tcBorders>
          <w:top w:val="nil"/>
          <w:left w:val="nil"/>
          <w:bottom w:val="nil"/>
          <w:right w:val="nil"/>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qFormat/>
    <w:tblPr>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il"/>
          <w:left w:val="nil"/>
          <w:bottom w:val="nil"/>
          <w:right w:val="nil"/>
        </w:tcBorders>
        <w:shd w:val="clear" w:color="auto" w:fill="FFFFFF"/>
      </w:tcPr>
    </w:tblStylePr>
    <w:tblStylePr w:type="lastRow">
      <w:rPr>
        <w:b/>
        <w:color w:val="404040"/>
      </w:rPr>
      <w:tblPr/>
      <w:tcPr>
        <w:tcBorders>
          <w:top w:val="nil"/>
          <w:left w:val="nil"/>
          <w:bottom w:val="nil"/>
          <w:right w:val="nil"/>
        </w:tcBorders>
        <w:shd w:val="clear" w:color="auto" w:fill="FFFFFF"/>
      </w:tcPr>
    </w:tblStylePr>
    <w:tblStylePr w:type="firstCol">
      <w:pPr>
        <w:jc w:val="right"/>
      </w:pPr>
      <w:rPr>
        <w:i/>
        <w:color w:val="404040"/>
      </w:rPr>
      <w:tblPr/>
      <w:tcPr>
        <w:tcBorders>
          <w:top w:val="nil"/>
          <w:left w:val="nil"/>
          <w:bottom w:val="nil"/>
          <w:right w:val="nil"/>
        </w:tcBorders>
        <w:shd w:val="clear" w:color="auto" w:fill="FFFFFF"/>
      </w:tcPr>
    </w:tblStylePr>
    <w:tblStylePr w:type="lastCol">
      <w:rPr>
        <w:i/>
        <w:color w:val="404040"/>
      </w:rPr>
      <w:tblPr/>
      <w:tcPr>
        <w:tcBorders>
          <w:top w:val="nil"/>
          <w:left w:val="nil"/>
          <w:bottom w:val="nil"/>
          <w:right w:val="nil"/>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qFormat/>
    <w:tblPr>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il"/>
          <w:left w:val="nil"/>
          <w:bottom w:val="nil"/>
          <w:right w:val="nil"/>
        </w:tcBorders>
        <w:shd w:val="clear" w:color="auto" w:fill="FFFFFF"/>
      </w:tcPr>
    </w:tblStylePr>
    <w:tblStylePr w:type="lastRow">
      <w:rPr>
        <w:b/>
        <w:color w:val="404040"/>
      </w:rPr>
      <w:tblPr/>
      <w:tcPr>
        <w:tcBorders>
          <w:top w:val="nil"/>
          <w:left w:val="nil"/>
          <w:bottom w:val="nil"/>
          <w:right w:val="nil"/>
        </w:tcBorders>
        <w:shd w:val="clear" w:color="auto" w:fill="FFFFFF"/>
      </w:tcPr>
    </w:tblStylePr>
    <w:tblStylePr w:type="firstCol">
      <w:pPr>
        <w:jc w:val="right"/>
      </w:pPr>
      <w:rPr>
        <w:i/>
        <w:color w:val="404040"/>
      </w:rPr>
      <w:tblPr/>
      <w:tcPr>
        <w:tcBorders>
          <w:top w:val="nil"/>
          <w:left w:val="nil"/>
          <w:bottom w:val="nil"/>
          <w:right w:val="nil"/>
        </w:tcBorders>
        <w:shd w:val="clear" w:color="auto" w:fill="FFFFFF"/>
      </w:tcPr>
    </w:tblStylePr>
    <w:tblStylePr w:type="lastCol">
      <w:rPr>
        <w:i/>
        <w:color w:val="404040"/>
      </w:rPr>
      <w:tblPr/>
      <w:tcPr>
        <w:tcBorders>
          <w:top w:val="nil"/>
          <w:left w:val="nil"/>
          <w:bottom w:val="nil"/>
          <w:right w:val="nil"/>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customStyle="1" w:styleId="411">
    <w:name w:val="网格表 41"/>
    <w:basedOn w:val="a2"/>
    <w:uiPriority w:val="59"/>
    <w:qFormat/>
    <w:tblPr>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qFormat/>
    <w:tblPr>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qFormat/>
    <w:tblPr>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qFormat/>
    <w:tblPr>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qFormat/>
    <w:tblPr>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qFormat/>
    <w:tblPr>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qFormat/>
    <w:tblPr>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customStyle="1" w:styleId="511">
    <w:name w:val="网格表 5 深色1"/>
    <w:basedOn w:val="a2"/>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customStyle="1" w:styleId="61">
    <w:name w:val="网格表 6 彩色1"/>
    <w:basedOn w:val="a2"/>
    <w:uiPriority w:val="99"/>
    <w:qFormat/>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rPr>
      <w:tblPr/>
      <w:tcPr>
        <w:tcBorders>
          <w:bottom w:val="single" w:sz="12" w:space="0" w:color="7F7F7F" w:themeColor="text1" w:themeTint="80"/>
        </w:tcBorders>
      </w:tcPr>
    </w:tblStylePr>
    <w:tblStylePr w:type="lastRow">
      <w:rPr>
        <w:b/>
        <w:color w:val="7F7F7F" w:themeColor="text1" w:themeTint="80"/>
      </w:rPr>
    </w:tblStylePr>
    <w:tblStylePr w:type="firstCol">
      <w:rPr>
        <w:b/>
        <w:color w:val="7F7F7F" w:themeColor="text1" w:themeTint="80"/>
      </w:rPr>
    </w:tblStylePr>
    <w:tblStylePr w:type="lastCol">
      <w:rPr>
        <w:b/>
        <w:color w:val="7F7F7F" w:themeColor="text1" w:themeTint="80"/>
      </w:rPr>
    </w:tblStylePr>
    <w:tblStylePr w:type="band1Vert">
      <w:tblPr/>
      <w:tcPr>
        <w:shd w:val="clear" w:color="auto" w:fill="CBCBCB" w:themeFill="text1" w:themeFillTint="34"/>
      </w:tcPr>
    </w:tblStylePr>
    <w:tblStylePr w:type="band1Horz">
      <w:rPr>
        <w:rFonts w:ascii="Arial" w:hAnsi="Arial"/>
        <w:color w:val="7F7F7F" w:themeColor="text1" w:themeTint="80"/>
        <w:sz w:val="22"/>
      </w:rPr>
      <w:tblPr/>
      <w:tcPr>
        <w:shd w:val="clear" w:color="auto" w:fill="CBCBCB" w:themeFill="text1" w:themeFillTint="34"/>
      </w:tcPr>
    </w:tblStylePr>
    <w:tblStylePr w:type="band2Horz">
      <w:rPr>
        <w:rFonts w:ascii="Arial" w:hAnsi="Arial"/>
        <w:color w:val="7F7F7F" w:themeColor="text1" w:themeTint="80"/>
        <w:sz w:val="22"/>
      </w:rPr>
    </w:tblStylePr>
  </w:style>
  <w:style w:type="table" w:customStyle="1" w:styleId="GridTable6Colorful-Accent1">
    <w:name w:val="Grid Table 6 Colorful - Accent 1"/>
    <w:basedOn w:val="a2"/>
    <w:uiPriority w:val="99"/>
    <w:qFormat/>
    <w:tblPr>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rPr>
      <w:tblPr/>
      <w:tcPr>
        <w:tcBorders>
          <w:bottom w:val="single" w:sz="12" w:space="0" w:color="A0B7E1" w:themeColor="accent1" w:themeTint="80"/>
        </w:tcBorders>
      </w:tcPr>
    </w:tblStylePr>
    <w:tblStylePr w:type="lastRow">
      <w:rPr>
        <w:b/>
        <w:color w:val="A0B7E1" w:themeColor="accent1" w:themeTint="80"/>
      </w:rPr>
    </w:tblStylePr>
    <w:tblStylePr w:type="firstCol">
      <w:rPr>
        <w:b/>
        <w:color w:val="A0B7E1" w:themeColor="accent1" w:themeTint="80"/>
      </w:rPr>
    </w:tblStylePr>
    <w:tblStylePr w:type="lastCol">
      <w:rPr>
        <w:b/>
        <w:color w:val="A0B7E1" w:themeColor="accent1" w:themeTint="80"/>
      </w:rPr>
    </w:tblStylePr>
    <w:tblStylePr w:type="band1Vert">
      <w:tblPr/>
      <w:tcPr>
        <w:shd w:val="clear" w:color="auto" w:fill="D8E2F3" w:themeFill="accent1" w:themeFillTint="34"/>
      </w:tcPr>
    </w:tblStylePr>
    <w:tblStylePr w:type="band1Horz">
      <w:rPr>
        <w:rFonts w:ascii="Arial" w:hAnsi="Arial"/>
        <w:color w:val="A0B7E1" w:themeColor="accent1" w:themeTint="80"/>
        <w:sz w:val="22"/>
      </w:rPr>
      <w:tblPr/>
      <w:tcPr>
        <w:shd w:val="clear" w:color="auto" w:fill="D8E2F3" w:themeFill="accent1" w:themeFillTint="34"/>
      </w:tcPr>
    </w:tblStylePr>
    <w:tblStylePr w:type="band2Horz">
      <w:rPr>
        <w:rFonts w:ascii="Arial" w:hAnsi="Arial"/>
        <w:color w:val="A0B7E1" w:themeColor="accent1" w:themeTint="80"/>
        <w:sz w:val="22"/>
      </w:rPr>
    </w:tblStylePr>
  </w:style>
  <w:style w:type="table" w:customStyle="1" w:styleId="GridTable6Colorful-Accent2">
    <w:name w:val="Grid Table 6 Colorful - Accent 2"/>
    <w:basedOn w:val="a2"/>
    <w:uiPriority w:val="99"/>
    <w:qFormat/>
    <w:tblPr>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285" w:themeColor="accent2" w:themeTint="96"/>
      </w:rPr>
      <w:tblPr/>
      <w:tcPr>
        <w:tcBorders>
          <w:bottom w:val="single" w:sz="12" w:space="0" w:color="F4B184" w:themeColor="accent2" w:themeTint="97"/>
        </w:tcBorders>
      </w:tcPr>
    </w:tblStylePr>
    <w:tblStylePr w:type="lastRow">
      <w:rPr>
        <w:b/>
        <w:color w:val="F4B285" w:themeColor="accent2" w:themeTint="96"/>
      </w:rPr>
    </w:tblStylePr>
    <w:tblStylePr w:type="firstCol">
      <w:rPr>
        <w:b/>
        <w:color w:val="F4B285" w:themeColor="accent2" w:themeTint="96"/>
      </w:rPr>
    </w:tblStylePr>
    <w:tblStylePr w:type="lastCol">
      <w:rPr>
        <w:b/>
        <w:color w:val="F4B285" w:themeColor="accent2" w:themeTint="96"/>
      </w:rPr>
    </w:tblStylePr>
    <w:tblStylePr w:type="band1Vert">
      <w:tblPr/>
      <w:tcPr>
        <w:shd w:val="clear" w:color="auto" w:fill="FBE5D6" w:themeFill="accent2" w:themeFillTint="32"/>
      </w:tcPr>
    </w:tblStylePr>
    <w:tblStylePr w:type="band1Horz">
      <w:rPr>
        <w:rFonts w:ascii="Arial" w:hAnsi="Arial"/>
        <w:color w:val="F4B285" w:themeColor="accent2" w:themeTint="96"/>
        <w:sz w:val="22"/>
      </w:rPr>
      <w:tblPr/>
      <w:tcPr>
        <w:shd w:val="clear" w:color="auto" w:fill="FBE5D6" w:themeFill="accent2" w:themeFillTint="32"/>
      </w:tcPr>
    </w:tblStylePr>
    <w:tblStylePr w:type="band2Horz">
      <w:rPr>
        <w:rFonts w:ascii="Arial" w:hAnsi="Arial"/>
        <w:color w:val="F4B285" w:themeColor="accent2" w:themeTint="96"/>
        <w:sz w:val="22"/>
      </w:rPr>
    </w:tblStylePr>
  </w:style>
  <w:style w:type="table" w:customStyle="1" w:styleId="GridTable6Colorful-Accent3">
    <w:name w:val="Grid Table 6 Colorful - Accent 3"/>
    <w:basedOn w:val="a2"/>
    <w:uiPriority w:val="99"/>
    <w:qFormat/>
    <w:tblPr>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rPr>
      <w:tblPr/>
      <w:tcPr>
        <w:tcBorders>
          <w:bottom w:val="single" w:sz="12" w:space="0" w:color="A5A5A5" w:themeColor="accent3" w:themeTint="FE"/>
        </w:tcBorders>
      </w:tcPr>
    </w:tblStylePr>
    <w:tblStylePr w:type="lastRow">
      <w:rPr>
        <w:b/>
        <w:color w:val="A5A5A5" w:themeColor="accent3"/>
      </w:rPr>
    </w:tblStylePr>
    <w:tblStylePr w:type="firstCol">
      <w:rPr>
        <w:b/>
        <w:color w:val="A5A5A5" w:themeColor="accent3"/>
      </w:rPr>
    </w:tblStylePr>
    <w:tblStylePr w:type="lastCol">
      <w:rPr>
        <w:b/>
        <w:color w:val="A5A5A5" w:themeColor="accent3"/>
      </w:rPr>
    </w:tblStylePr>
    <w:tblStylePr w:type="band1Vert">
      <w:tblPr/>
      <w:tcPr>
        <w:shd w:val="clear" w:color="auto" w:fill="ECECEC" w:themeFill="accent3" w:themeFillTint="34"/>
      </w:tcPr>
    </w:tblStylePr>
    <w:tblStylePr w:type="band1Horz">
      <w:rPr>
        <w:rFonts w:ascii="Arial" w:hAnsi="Arial"/>
        <w:color w:val="A5A5A5" w:themeColor="accent3"/>
        <w:sz w:val="22"/>
      </w:rPr>
      <w:tblPr/>
      <w:tcPr>
        <w:shd w:val="clear" w:color="auto" w:fill="ECECEC" w:themeFill="accent3" w:themeFillTint="34"/>
      </w:tcPr>
    </w:tblStylePr>
    <w:tblStylePr w:type="band2Horz">
      <w:rPr>
        <w:rFonts w:ascii="Arial" w:hAnsi="Arial"/>
        <w:color w:val="A5A5A5" w:themeColor="accent3"/>
        <w:sz w:val="22"/>
      </w:rPr>
    </w:tblStylePr>
  </w:style>
  <w:style w:type="table" w:customStyle="1" w:styleId="GridTable6Colorful-Accent4">
    <w:name w:val="Grid Table 6 Colorful - Accent 4"/>
    <w:basedOn w:val="a2"/>
    <w:uiPriority w:val="99"/>
    <w:qFormat/>
    <w:tblPr>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966" w:themeColor="accent4" w:themeTint="99"/>
      </w:rPr>
      <w:tblPr/>
      <w:tcPr>
        <w:tcBorders>
          <w:bottom w:val="single" w:sz="12" w:space="0" w:color="FFD865" w:themeColor="accent4" w:themeTint="9A"/>
        </w:tcBorders>
      </w:tcPr>
    </w:tblStylePr>
    <w:tblStylePr w:type="lastRow">
      <w:rPr>
        <w:b/>
        <w:color w:val="FFD966" w:themeColor="accent4" w:themeTint="99"/>
      </w:rPr>
    </w:tblStylePr>
    <w:tblStylePr w:type="firstCol">
      <w:rPr>
        <w:b/>
        <w:color w:val="FFD966" w:themeColor="accent4" w:themeTint="99"/>
      </w:rPr>
    </w:tblStylePr>
    <w:tblStylePr w:type="lastCol">
      <w:rPr>
        <w:b/>
        <w:color w:val="FFD966" w:themeColor="accent4" w:themeTint="99"/>
      </w:rPr>
    </w:tblStylePr>
    <w:tblStylePr w:type="band1Vert">
      <w:tblPr/>
      <w:tcPr>
        <w:shd w:val="clear" w:color="auto" w:fill="FFF2CB" w:themeFill="accent4" w:themeFillTint="34"/>
      </w:tcPr>
    </w:tblStylePr>
    <w:tblStylePr w:type="band1Horz">
      <w:rPr>
        <w:rFonts w:ascii="Arial" w:hAnsi="Arial"/>
        <w:color w:val="FFD966" w:themeColor="accent4" w:themeTint="99"/>
        <w:sz w:val="22"/>
      </w:rPr>
      <w:tblPr/>
      <w:tcPr>
        <w:shd w:val="clear" w:color="auto" w:fill="FFF2CB" w:themeFill="accent4" w:themeFillTint="34"/>
      </w:tcPr>
    </w:tblStylePr>
    <w:tblStylePr w:type="band2Horz">
      <w:rPr>
        <w:rFonts w:ascii="Arial" w:hAnsi="Arial"/>
        <w:color w:val="FFD966" w:themeColor="accent4" w:themeTint="99"/>
        <w:sz w:val="22"/>
      </w:rPr>
    </w:tblStylePr>
  </w:style>
  <w:style w:type="table" w:customStyle="1" w:styleId="GridTable6Colorful-Accent5">
    <w:name w:val="Grid Table 6 Colorful - Accent 5"/>
    <w:basedOn w:val="a2"/>
    <w:uiPriority w:val="99"/>
    <w:qFormat/>
    <w:tblPr>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C" w:themeColor="accent5" w:themeShade="94"/>
      </w:rPr>
      <w:tblPr/>
      <w:tcPr>
        <w:tcBorders>
          <w:bottom w:val="single" w:sz="12" w:space="0" w:color="5B9BD5" w:themeColor="accent5"/>
        </w:tcBorders>
      </w:tcPr>
    </w:tblStylePr>
    <w:tblStylePr w:type="lastRow">
      <w:rPr>
        <w:b/>
        <w:color w:val="245A8C" w:themeColor="accent5" w:themeShade="94"/>
      </w:rPr>
    </w:tblStylePr>
    <w:tblStylePr w:type="firstCol">
      <w:rPr>
        <w:b/>
        <w:color w:val="245A8C" w:themeColor="accent5" w:themeShade="94"/>
      </w:rPr>
    </w:tblStylePr>
    <w:tblStylePr w:type="lastCol">
      <w:rPr>
        <w:b/>
        <w:color w:val="245A8C" w:themeColor="accent5" w:themeShade="94"/>
      </w:rPr>
    </w:tblStylePr>
    <w:tblStylePr w:type="band1Vert">
      <w:tblPr/>
      <w:tcPr>
        <w:shd w:val="clear" w:color="auto" w:fill="DDEAF6" w:themeFill="accent5" w:themeFillTint="34"/>
      </w:tcPr>
    </w:tblStylePr>
    <w:tblStylePr w:type="band1Horz">
      <w:rPr>
        <w:rFonts w:ascii="Arial" w:hAnsi="Arial"/>
        <w:color w:val="245A8C" w:themeColor="accent5" w:themeShade="94"/>
        <w:sz w:val="22"/>
      </w:rPr>
      <w:tblPr/>
      <w:tcPr>
        <w:shd w:val="clear" w:color="auto" w:fill="DDEAF6" w:themeFill="accent5" w:themeFillTint="34"/>
      </w:tcPr>
    </w:tblStylePr>
    <w:tblStylePr w:type="band2Horz">
      <w:rPr>
        <w:rFonts w:ascii="Arial" w:hAnsi="Arial"/>
        <w:color w:val="245A8C" w:themeColor="accent5" w:themeShade="94"/>
        <w:sz w:val="22"/>
      </w:rPr>
    </w:tblStylePr>
  </w:style>
  <w:style w:type="table" w:customStyle="1" w:styleId="GridTable6Colorful-Accent6">
    <w:name w:val="Grid Table 6 Colorful - Accent 6"/>
    <w:basedOn w:val="a2"/>
    <w:uiPriority w:val="99"/>
    <w:qFormat/>
    <w:tblPr>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C" w:themeColor="accent5" w:themeShade="94"/>
      </w:rPr>
      <w:tblPr/>
      <w:tcPr>
        <w:tcBorders>
          <w:bottom w:val="single" w:sz="12" w:space="0" w:color="70AD47" w:themeColor="accent6"/>
        </w:tcBorders>
      </w:tcPr>
    </w:tblStylePr>
    <w:tblStylePr w:type="lastRow">
      <w:rPr>
        <w:b/>
        <w:color w:val="245A8C" w:themeColor="accent5" w:themeShade="94"/>
      </w:rPr>
    </w:tblStylePr>
    <w:tblStylePr w:type="firstCol">
      <w:rPr>
        <w:b/>
        <w:color w:val="245A8C" w:themeColor="accent5" w:themeShade="94"/>
      </w:rPr>
    </w:tblStylePr>
    <w:tblStylePr w:type="lastCol">
      <w:rPr>
        <w:b/>
        <w:color w:val="245A8C" w:themeColor="accent5" w:themeShade="94"/>
      </w:rPr>
    </w:tblStylePr>
    <w:tblStylePr w:type="band1Vert">
      <w:tblPr/>
      <w:tcPr>
        <w:shd w:val="clear" w:color="auto" w:fill="E1EFD8" w:themeFill="accent6" w:themeFillTint="34"/>
      </w:tcPr>
    </w:tblStylePr>
    <w:tblStylePr w:type="band1Horz">
      <w:rPr>
        <w:rFonts w:ascii="Arial" w:hAnsi="Arial"/>
        <w:color w:val="245A8C" w:themeColor="accent5" w:themeShade="94"/>
        <w:sz w:val="22"/>
      </w:rPr>
      <w:tblPr/>
      <w:tcPr>
        <w:shd w:val="clear" w:color="auto" w:fill="E1EFD8" w:themeFill="accent6" w:themeFillTint="34"/>
      </w:tcPr>
    </w:tblStylePr>
    <w:tblStylePr w:type="band2Horz">
      <w:rPr>
        <w:rFonts w:ascii="Arial" w:hAnsi="Arial"/>
        <w:color w:val="245A8C" w:themeColor="accent5" w:themeShade="94"/>
        <w:sz w:val="22"/>
      </w:rPr>
    </w:tblStylePr>
  </w:style>
  <w:style w:type="table" w:customStyle="1" w:styleId="71">
    <w:name w:val="网格表 7 彩色1"/>
    <w:basedOn w:val="a2"/>
    <w:uiPriority w:val="99"/>
    <w:qFormat/>
    <w:tblPr>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sz w:val="22"/>
      </w:rPr>
      <w:tblPr/>
      <w:tcPr>
        <w:tcBorders>
          <w:top w:val="nil"/>
          <w:left w:val="nil"/>
          <w:bottom w:val="single" w:sz="4" w:space="0" w:color="7F7F7F" w:themeColor="text1" w:themeTint="80"/>
          <w:right w:val="nil"/>
        </w:tcBorders>
        <w:shd w:val="clear" w:color="auto" w:fill="FFFFFF" w:themeFill="light1"/>
      </w:tcPr>
    </w:tblStylePr>
    <w:tblStylePr w:type="lastRow">
      <w:rPr>
        <w:rFonts w:ascii="Arial" w:hAnsi="Arial"/>
        <w:b/>
        <w:color w:val="7F7F7F" w:themeColor="text1" w:themeTint="80"/>
        <w:sz w:val="22"/>
      </w:rPr>
      <w:tblPr/>
      <w:tcPr>
        <w:tcBorders>
          <w:top w:val="single" w:sz="4" w:space="0" w:color="7F7F7F" w:themeColor="text1" w:themeTint="80"/>
          <w:left w:val="nil"/>
          <w:bottom w:val="nil"/>
          <w:right w:val="nil"/>
        </w:tcBorders>
        <w:shd w:val="clear" w:color="auto" w:fill="FFFFFF" w:themeFill="light1"/>
      </w:tcPr>
    </w:tblStylePr>
    <w:tblStylePr w:type="firstCol">
      <w:pPr>
        <w:jc w:val="right"/>
      </w:pPr>
      <w:rPr>
        <w:rFonts w:ascii="Arial" w:hAnsi="Arial"/>
        <w:i/>
        <w:color w:val="7F7F7F" w:themeColor="text1" w:themeTint="80"/>
        <w:sz w:val="22"/>
      </w:rPr>
      <w:tblPr/>
      <w:tcPr>
        <w:tcBorders>
          <w:top w:val="nil"/>
          <w:left w:val="nil"/>
          <w:bottom w:val="nil"/>
          <w:right w:val="single" w:sz="4" w:space="0" w:color="7F7F7F" w:themeColor="text1" w:themeTint="80"/>
        </w:tcBorders>
        <w:shd w:val="clear" w:color="auto" w:fill="FFFFFF"/>
      </w:tcPr>
    </w:tblStylePr>
    <w:tblStylePr w:type="lastCol">
      <w:rPr>
        <w:rFonts w:ascii="Arial" w:hAnsi="Arial"/>
        <w:i/>
        <w:color w:val="7F7F7F" w:themeColor="text1" w:themeTint="80"/>
        <w:sz w:val="22"/>
      </w:rPr>
      <w:tblPr/>
      <w:tcPr>
        <w:tcBorders>
          <w:top w:val="nil"/>
          <w:left w:val="single" w:sz="4" w:space="0" w:color="7F7F7F" w:themeColor="text1" w:themeTint="80"/>
          <w:bottom w:val="nil"/>
          <w:right w:val="nil"/>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sz w:val="22"/>
      </w:rPr>
      <w:tblPr/>
      <w:tcPr>
        <w:shd w:val="clear" w:color="auto" w:fill="F2F2F2" w:themeFill="text1" w:themeFillTint="0D"/>
      </w:tcPr>
    </w:tblStylePr>
    <w:tblStylePr w:type="band2Horz">
      <w:rPr>
        <w:rFonts w:ascii="Arial" w:hAnsi="Arial"/>
        <w:color w:val="7F7F7F" w:themeColor="text1" w:themeTint="80"/>
        <w:sz w:val="22"/>
      </w:rPr>
    </w:tblStylePr>
  </w:style>
  <w:style w:type="table" w:customStyle="1" w:styleId="GridTable7Colorful-Accent1">
    <w:name w:val="Grid Table 7 Colorful - Accent 1"/>
    <w:basedOn w:val="a2"/>
    <w:uiPriority w:val="99"/>
    <w:qFormat/>
    <w:tblPr>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sz w:val="22"/>
      </w:rPr>
      <w:tblPr/>
      <w:tcPr>
        <w:tcBorders>
          <w:top w:val="nil"/>
          <w:left w:val="nil"/>
          <w:bottom w:val="single" w:sz="4" w:space="0" w:color="A0B7E1" w:themeColor="accent1" w:themeTint="80"/>
          <w:right w:val="nil"/>
        </w:tcBorders>
        <w:shd w:val="clear" w:color="auto" w:fill="FFFFFF" w:themeFill="light1"/>
      </w:tcPr>
    </w:tblStylePr>
    <w:tblStylePr w:type="lastRow">
      <w:rPr>
        <w:rFonts w:ascii="Arial" w:hAnsi="Arial"/>
        <w:b/>
        <w:color w:val="A0B7E1" w:themeColor="accent1" w:themeTint="80"/>
        <w:sz w:val="22"/>
      </w:rPr>
      <w:tblPr/>
      <w:tcPr>
        <w:tcBorders>
          <w:top w:val="single" w:sz="4" w:space="0" w:color="A0B7E1" w:themeColor="accent1" w:themeTint="80"/>
          <w:left w:val="nil"/>
          <w:bottom w:val="nil"/>
          <w:right w:val="nil"/>
        </w:tcBorders>
        <w:shd w:val="clear" w:color="auto" w:fill="FFFFFF" w:themeFill="light1"/>
      </w:tcPr>
    </w:tblStylePr>
    <w:tblStylePr w:type="firstCol">
      <w:pPr>
        <w:jc w:val="right"/>
      </w:pPr>
      <w:rPr>
        <w:rFonts w:ascii="Arial" w:hAnsi="Arial"/>
        <w:i/>
        <w:color w:val="A0B7E1" w:themeColor="accent1" w:themeTint="80"/>
        <w:sz w:val="22"/>
      </w:rPr>
      <w:tblPr/>
      <w:tcPr>
        <w:tcBorders>
          <w:top w:val="nil"/>
          <w:left w:val="nil"/>
          <w:bottom w:val="nil"/>
          <w:right w:val="single" w:sz="4" w:space="0" w:color="A0B7E1" w:themeColor="accent1" w:themeTint="80"/>
        </w:tcBorders>
        <w:shd w:val="clear" w:color="auto" w:fill="FFFFFF"/>
      </w:tcPr>
    </w:tblStylePr>
    <w:tblStylePr w:type="lastCol">
      <w:rPr>
        <w:rFonts w:ascii="Arial" w:hAnsi="Arial"/>
        <w:i/>
        <w:color w:val="A0B7E1" w:themeColor="accent1" w:themeTint="80"/>
        <w:sz w:val="22"/>
      </w:rPr>
      <w:tblPr/>
      <w:tcPr>
        <w:tcBorders>
          <w:top w:val="nil"/>
          <w:left w:val="single" w:sz="4" w:space="0" w:color="A0B7E1" w:themeColor="accent1" w:themeTint="80"/>
          <w:bottom w:val="nil"/>
          <w:right w:val="nil"/>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sz w:val="22"/>
      </w:rPr>
      <w:tblPr/>
      <w:tcPr>
        <w:shd w:val="clear" w:color="auto" w:fill="D8E2F3" w:themeFill="accent1" w:themeFillTint="34"/>
      </w:tcPr>
    </w:tblStylePr>
    <w:tblStylePr w:type="band2Horz">
      <w:rPr>
        <w:rFonts w:ascii="Arial" w:hAnsi="Arial"/>
        <w:color w:val="A0B7E1" w:themeColor="accent1" w:themeTint="80"/>
        <w:sz w:val="22"/>
      </w:rPr>
    </w:tblStylePr>
  </w:style>
  <w:style w:type="table" w:customStyle="1" w:styleId="GridTable7Colorful-Accent2">
    <w:name w:val="Grid Table 7 Colorful - Accent 2"/>
    <w:basedOn w:val="a2"/>
    <w:uiPriority w:val="99"/>
    <w:qFormat/>
    <w:tblPr>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285" w:themeColor="accent2" w:themeTint="96"/>
        <w:sz w:val="22"/>
      </w:rPr>
      <w:tblPr/>
      <w:tcPr>
        <w:tcBorders>
          <w:top w:val="nil"/>
          <w:left w:val="nil"/>
          <w:bottom w:val="single" w:sz="4" w:space="0" w:color="F4B184" w:themeColor="accent2" w:themeTint="97"/>
          <w:right w:val="nil"/>
        </w:tcBorders>
        <w:shd w:val="clear" w:color="auto" w:fill="FFFFFF" w:themeFill="light1"/>
      </w:tcPr>
    </w:tblStylePr>
    <w:tblStylePr w:type="lastRow">
      <w:rPr>
        <w:rFonts w:ascii="Arial" w:hAnsi="Arial"/>
        <w:b/>
        <w:color w:val="F4B285" w:themeColor="accent2" w:themeTint="96"/>
        <w:sz w:val="22"/>
      </w:rPr>
      <w:tblPr/>
      <w:tcPr>
        <w:tcBorders>
          <w:top w:val="single" w:sz="4" w:space="0" w:color="F4B184" w:themeColor="accent2" w:themeTint="97"/>
          <w:left w:val="nil"/>
          <w:bottom w:val="nil"/>
          <w:right w:val="nil"/>
        </w:tcBorders>
        <w:shd w:val="clear" w:color="auto" w:fill="FFFFFF" w:themeFill="light1"/>
      </w:tcPr>
    </w:tblStylePr>
    <w:tblStylePr w:type="firstCol">
      <w:pPr>
        <w:jc w:val="right"/>
      </w:pPr>
      <w:rPr>
        <w:rFonts w:ascii="Arial" w:hAnsi="Arial"/>
        <w:i/>
        <w:color w:val="F4B285" w:themeColor="accent2" w:themeTint="96"/>
        <w:sz w:val="22"/>
      </w:rPr>
      <w:tblPr/>
      <w:tcPr>
        <w:tcBorders>
          <w:top w:val="nil"/>
          <w:left w:val="nil"/>
          <w:bottom w:val="nil"/>
          <w:right w:val="single" w:sz="4" w:space="0" w:color="F4B184" w:themeColor="accent2" w:themeTint="97"/>
        </w:tcBorders>
        <w:shd w:val="clear" w:color="auto" w:fill="FFFFFF"/>
      </w:tcPr>
    </w:tblStylePr>
    <w:tblStylePr w:type="lastCol">
      <w:rPr>
        <w:rFonts w:ascii="Arial" w:hAnsi="Arial"/>
        <w:i/>
        <w:color w:val="F4B285" w:themeColor="accent2" w:themeTint="96"/>
        <w:sz w:val="22"/>
      </w:rPr>
      <w:tblPr/>
      <w:tcPr>
        <w:tcBorders>
          <w:top w:val="nil"/>
          <w:left w:val="single" w:sz="4" w:space="0" w:color="F4B184" w:themeColor="accent2" w:themeTint="97"/>
          <w:bottom w:val="nil"/>
          <w:right w:val="nil"/>
        </w:tcBorders>
        <w:shd w:val="clear" w:color="auto" w:fill="FFFFFF"/>
      </w:tcPr>
    </w:tblStylePr>
    <w:tblStylePr w:type="band1Vert">
      <w:tblPr/>
      <w:tcPr>
        <w:shd w:val="clear" w:color="auto" w:fill="FBE5D6" w:themeFill="accent2" w:themeFillTint="32"/>
      </w:tcPr>
    </w:tblStylePr>
    <w:tblStylePr w:type="band1Horz">
      <w:rPr>
        <w:rFonts w:ascii="Arial" w:hAnsi="Arial"/>
        <w:color w:val="F4B285" w:themeColor="accent2" w:themeTint="96"/>
        <w:sz w:val="22"/>
      </w:rPr>
      <w:tblPr/>
      <w:tcPr>
        <w:shd w:val="clear" w:color="auto" w:fill="FBE5D6" w:themeFill="accent2" w:themeFillTint="32"/>
      </w:tcPr>
    </w:tblStylePr>
    <w:tblStylePr w:type="band2Horz">
      <w:rPr>
        <w:rFonts w:ascii="Arial" w:hAnsi="Arial"/>
        <w:color w:val="F4B285" w:themeColor="accent2" w:themeTint="96"/>
        <w:sz w:val="22"/>
      </w:rPr>
    </w:tblStylePr>
  </w:style>
  <w:style w:type="table" w:customStyle="1" w:styleId="GridTable7Colorful-Accent3">
    <w:name w:val="Grid Table 7 Colorful - Accent 3"/>
    <w:basedOn w:val="a2"/>
    <w:uiPriority w:val="99"/>
    <w:qFormat/>
    <w:tblPr>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sz w:val="22"/>
      </w:rPr>
      <w:tblPr/>
      <w:tcPr>
        <w:tcBorders>
          <w:top w:val="nil"/>
          <w:left w:val="nil"/>
          <w:bottom w:val="single" w:sz="4" w:space="0" w:color="A5A5A5" w:themeColor="accent3" w:themeTint="FE"/>
          <w:right w:val="nil"/>
        </w:tcBorders>
        <w:shd w:val="clear" w:color="auto" w:fill="FFFFFF" w:themeFill="light1"/>
      </w:tcPr>
    </w:tblStylePr>
    <w:tblStylePr w:type="lastRow">
      <w:rPr>
        <w:rFonts w:ascii="Arial" w:hAnsi="Arial"/>
        <w:b/>
        <w:color w:val="A5A5A5" w:themeColor="accent3"/>
        <w:sz w:val="22"/>
      </w:rPr>
      <w:tblPr/>
      <w:tcPr>
        <w:tcBorders>
          <w:top w:val="single" w:sz="4" w:space="0" w:color="A5A5A5" w:themeColor="accent3" w:themeTint="FE"/>
          <w:left w:val="nil"/>
          <w:bottom w:val="nil"/>
          <w:right w:val="nil"/>
        </w:tcBorders>
        <w:shd w:val="clear" w:color="auto" w:fill="FFFFFF" w:themeFill="light1"/>
      </w:tcPr>
    </w:tblStylePr>
    <w:tblStylePr w:type="firstCol">
      <w:pPr>
        <w:jc w:val="right"/>
      </w:pPr>
      <w:rPr>
        <w:rFonts w:ascii="Arial" w:hAnsi="Arial"/>
        <w:i/>
        <w:color w:val="A5A5A5" w:themeColor="accent3"/>
        <w:sz w:val="22"/>
      </w:rPr>
      <w:tblPr/>
      <w:tcPr>
        <w:tcBorders>
          <w:top w:val="nil"/>
          <w:left w:val="nil"/>
          <w:bottom w:val="nil"/>
          <w:right w:val="single" w:sz="4" w:space="0" w:color="A5A5A5" w:themeColor="accent3" w:themeTint="FE"/>
        </w:tcBorders>
        <w:shd w:val="clear" w:color="auto" w:fill="FFFFFF"/>
      </w:tcPr>
    </w:tblStylePr>
    <w:tblStylePr w:type="lastCol">
      <w:rPr>
        <w:rFonts w:ascii="Arial" w:hAnsi="Arial"/>
        <w:i/>
        <w:color w:val="A5A5A5" w:themeColor="accent3"/>
        <w:sz w:val="22"/>
      </w:rPr>
      <w:tblPr/>
      <w:tcPr>
        <w:tcBorders>
          <w:top w:val="nil"/>
          <w:left w:val="single" w:sz="4" w:space="0" w:color="A5A5A5" w:themeColor="accent3" w:themeTint="FE"/>
          <w:bottom w:val="nil"/>
          <w:right w:val="nil"/>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sz w:val="22"/>
      </w:rPr>
      <w:tblPr/>
      <w:tcPr>
        <w:shd w:val="clear" w:color="auto" w:fill="ECECEC" w:themeFill="accent3" w:themeFillTint="34"/>
      </w:tcPr>
    </w:tblStylePr>
    <w:tblStylePr w:type="band2Horz">
      <w:rPr>
        <w:rFonts w:ascii="Arial" w:hAnsi="Arial"/>
        <w:color w:val="A5A5A5" w:themeColor="accent3"/>
        <w:sz w:val="22"/>
      </w:rPr>
    </w:tblStylePr>
  </w:style>
  <w:style w:type="table" w:customStyle="1" w:styleId="GridTable7Colorful-Accent4">
    <w:name w:val="Grid Table 7 Colorful - Accent 4"/>
    <w:basedOn w:val="a2"/>
    <w:uiPriority w:val="99"/>
    <w:qFormat/>
    <w:tblPr>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966" w:themeColor="accent4" w:themeTint="99"/>
        <w:sz w:val="22"/>
      </w:rPr>
      <w:tblPr/>
      <w:tcPr>
        <w:tcBorders>
          <w:top w:val="nil"/>
          <w:left w:val="nil"/>
          <w:bottom w:val="single" w:sz="4" w:space="0" w:color="FFD865" w:themeColor="accent4" w:themeTint="9A"/>
          <w:right w:val="nil"/>
        </w:tcBorders>
        <w:shd w:val="clear" w:color="auto" w:fill="FFFFFF" w:themeFill="light1"/>
      </w:tcPr>
    </w:tblStylePr>
    <w:tblStylePr w:type="lastRow">
      <w:rPr>
        <w:rFonts w:ascii="Arial" w:hAnsi="Arial"/>
        <w:b/>
        <w:color w:val="FFD966" w:themeColor="accent4" w:themeTint="99"/>
        <w:sz w:val="22"/>
      </w:rPr>
      <w:tblPr/>
      <w:tcPr>
        <w:tcBorders>
          <w:top w:val="single" w:sz="4" w:space="0" w:color="FFD865" w:themeColor="accent4" w:themeTint="9A"/>
          <w:left w:val="nil"/>
          <w:bottom w:val="nil"/>
          <w:right w:val="nil"/>
        </w:tcBorders>
        <w:shd w:val="clear" w:color="auto" w:fill="FFFFFF" w:themeFill="light1"/>
      </w:tcPr>
    </w:tblStylePr>
    <w:tblStylePr w:type="firstCol">
      <w:pPr>
        <w:jc w:val="right"/>
      </w:pPr>
      <w:rPr>
        <w:rFonts w:ascii="Arial" w:hAnsi="Arial"/>
        <w:i/>
        <w:color w:val="FFD966" w:themeColor="accent4" w:themeTint="99"/>
        <w:sz w:val="22"/>
      </w:rPr>
      <w:tblPr/>
      <w:tcPr>
        <w:tcBorders>
          <w:top w:val="nil"/>
          <w:left w:val="nil"/>
          <w:bottom w:val="nil"/>
          <w:right w:val="single" w:sz="4" w:space="0" w:color="FFD865" w:themeColor="accent4" w:themeTint="9A"/>
        </w:tcBorders>
        <w:shd w:val="clear" w:color="auto" w:fill="FFFFFF"/>
      </w:tcPr>
    </w:tblStylePr>
    <w:tblStylePr w:type="lastCol">
      <w:rPr>
        <w:rFonts w:ascii="Arial" w:hAnsi="Arial"/>
        <w:i/>
        <w:color w:val="FFD966" w:themeColor="accent4" w:themeTint="99"/>
        <w:sz w:val="22"/>
      </w:rPr>
      <w:tblPr/>
      <w:tcPr>
        <w:tcBorders>
          <w:top w:val="nil"/>
          <w:left w:val="single" w:sz="4" w:space="0" w:color="FFD865" w:themeColor="accent4" w:themeTint="9A"/>
          <w:bottom w:val="nil"/>
          <w:right w:val="nil"/>
        </w:tcBorders>
        <w:shd w:val="clear" w:color="auto" w:fill="FFFFFF"/>
      </w:tcPr>
    </w:tblStylePr>
    <w:tblStylePr w:type="band1Vert">
      <w:tblPr/>
      <w:tcPr>
        <w:shd w:val="clear" w:color="auto" w:fill="FFF2CB" w:themeFill="accent4" w:themeFillTint="34"/>
      </w:tcPr>
    </w:tblStylePr>
    <w:tblStylePr w:type="band1Horz">
      <w:rPr>
        <w:rFonts w:ascii="Arial" w:hAnsi="Arial"/>
        <w:color w:val="FFD966" w:themeColor="accent4" w:themeTint="99"/>
        <w:sz w:val="22"/>
      </w:rPr>
      <w:tblPr/>
      <w:tcPr>
        <w:shd w:val="clear" w:color="auto" w:fill="FFF2CB" w:themeFill="accent4" w:themeFillTint="34"/>
      </w:tcPr>
    </w:tblStylePr>
    <w:tblStylePr w:type="band2Horz">
      <w:rPr>
        <w:rFonts w:ascii="Arial" w:hAnsi="Arial"/>
        <w:color w:val="FFD966" w:themeColor="accent4" w:themeTint="99"/>
        <w:sz w:val="22"/>
      </w:rPr>
    </w:tblStylePr>
  </w:style>
  <w:style w:type="table" w:customStyle="1" w:styleId="GridTable7Colorful-Accent5">
    <w:name w:val="Grid Table 7 Colorful - Accent 5"/>
    <w:basedOn w:val="a2"/>
    <w:uiPriority w:val="99"/>
    <w:qFormat/>
    <w:tblPr>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C" w:themeColor="accent5" w:themeShade="94"/>
        <w:sz w:val="22"/>
      </w:rPr>
      <w:tblPr/>
      <w:tcPr>
        <w:tcBorders>
          <w:top w:val="nil"/>
          <w:left w:val="nil"/>
          <w:bottom w:val="single" w:sz="4" w:space="0" w:color="A2C6E7" w:themeColor="accent5" w:themeTint="90"/>
          <w:right w:val="nil"/>
        </w:tcBorders>
        <w:shd w:val="clear" w:color="auto" w:fill="FFFFFF" w:themeFill="light1"/>
      </w:tcPr>
    </w:tblStylePr>
    <w:tblStylePr w:type="lastRow">
      <w:rPr>
        <w:rFonts w:ascii="Arial" w:hAnsi="Arial"/>
        <w:b/>
        <w:color w:val="245A8C" w:themeColor="accent5" w:themeShade="94"/>
        <w:sz w:val="22"/>
      </w:rPr>
      <w:tblPr/>
      <w:tcPr>
        <w:tcBorders>
          <w:top w:val="single" w:sz="4" w:space="0" w:color="A2C6E7" w:themeColor="accent5" w:themeTint="90"/>
          <w:left w:val="nil"/>
          <w:bottom w:val="nil"/>
          <w:right w:val="nil"/>
        </w:tcBorders>
        <w:shd w:val="clear" w:color="auto" w:fill="FFFFFF" w:themeFill="light1"/>
      </w:tcPr>
    </w:tblStylePr>
    <w:tblStylePr w:type="firstCol">
      <w:pPr>
        <w:jc w:val="right"/>
      </w:pPr>
      <w:rPr>
        <w:rFonts w:ascii="Arial" w:hAnsi="Arial"/>
        <w:i/>
        <w:color w:val="245A8C" w:themeColor="accent5" w:themeShade="94"/>
        <w:sz w:val="22"/>
      </w:rPr>
      <w:tblPr/>
      <w:tcPr>
        <w:tcBorders>
          <w:top w:val="nil"/>
          <w:left w:val="nil"/>
          <w:bottom w:val="nil"/>
          <w:right w:val="single" w:sz="4" w:space="0" w:color="A2C6E7" w:themeColor="accent5" w:themeTint="90"/>
        </w:tcBorders>
        <w:shd w:val="clear" w:color="auto" w:fill="FFFFFF"/>
      </w:tcPr>
    </w:tblStylePr>
    <w:tblStylePr w:type="lastCol">
      <w:rPr>
        <w:rFonts w:ascii="Arial" w:hAnsi="Arial"/>
        <w:i/>
        <w:color w:val="245A8C" w:themeColor="accent5" w:themeShade="94"/>
        <w:sz w:val="22"/>
      </w:rPr>
      <w:tblPr/>
      <w:tcPr>
        <w:tcBorders>
          <w:top w:val="nil"/>
          <w:left w:val="single" w:sz="4" w:space="0" w:color="A2C6E7" w:themeColor="accent5" w:themeTint="90"/>
          <w:bottom w:val="nil"/>
          <w:right w:val="nil"/>
        </w:tcBorders>
        <w:shd w:val="clear" w:color="auto" w:fill="FFFFFF"/>
      </w:tcPr>
    </w:tblStylePr>
    <w:tblStylePr w:type="band1Vert">
      <w:tblPr/>
      <w:tcPr>
        <w:shd w:val="clear" w:color="auto" w:fill="DDEAF6" w:themeFill="accent5" w:themeFillTint="34"/>
      </w:tcPr>
    </w:tblStylePr>
    <w:tblStylePr w:type="band1Horz">
      <w:rPr>
        <w:rFonts w:ascii="Arial" w:hAnsi="Arial"/>
        <w:color w:val="245A8C" w:themeColor="accent5" w:themeShade="94"/>
        <w:sz w:val="22"/>
      </w:rPr>
      <w:tblPr/>
      <w:tcPr>
        <w:shd w:val="clear" w:color="auto" w:fill="DDEAF6" w:themeFill="accent5" w:themeFillTint="34"/>
      </w:tcPr>
    </w:tblStylePr>
    <w:tblStylePr w:type="band2Horz">
      <w:rPr>
        <w:rFonts w:ascii="Arial" w:hAnsi="Arial"/>
        <w:color w:val="245A8C" w:themeColor="accent5" w:themeShade="94"/>
        <w:sz w:val="22"/>
      </w:rPr>
    </w:tblStylePr>
  </w:style>
  <w:style w:type="table" w:customStyle="1" w:styleId="GridTable7Colorful-Accent6">
    <w:name w:val="Grid Table 7 Colorful - Accent 6"/>
    <w:basedOn w:val="a2"/>
    <w:uiPriority w:val="99"/>
    <w:qFormat/>
    <w:tblPr>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06429" w:themeColor="accent6" w:themeShade="94"/>
        <w:sz w:val="22"/>
      </w:rPr>
      <w:tblPr/>
      <w:tcPr>
        <w:tcBorders>
          <w:top w:val="nil"/>
          <w:left w:val="nil"/>
          <w:bottom w:val="single" w:sz="4" w:space="0" w:color="ADD394" w:themeColor="accent6" w:themeTint="90"/>
          <w:right w:val="nil"/>
        </w:tcBorders>
        <w:shd w:val="clear" w:color="auto" w:fill="FFFFFF" w:themeFill="light1"/>
      </w:tcPr>
    </w:tblStylePr>
    <w:tblStylePr w:type="lastRow">
      <w:rPr>
        <w:rFonts w:ascii="Arial" w:hAnsi="Arial"/>
        <w:b/>
        <w:color w:val="406429" w:themeColor="accent6" w:themeShade="94"/>
        <w:sz w:val="22"/>
      </w:rPr>
      <w:tblPr/>
      <w:tcPr>
        <w:tcBorders>
          <w:top w:val="single" w:sz="4" w:space="0" w:color="ADD394" w:themeColor="accent6" w:themeTint="90"/>
          <w:left w:val="nil"/>
          <w:bottom w:val="nil"/>
          <w:right w:val="nil"/>
        </w:tcBorders>
        <w:shd w:val="clear" w:color="auto" w:fill="FFFFFF" w:themeFill="light1"/>
      </w:tcPr>
    </w:tblStylePr>
    <w:tblStylePr w:type="firstCol">
      <w:pPr>
        <w:jc w:val="right"/>
      </w:pPr>
      <w:rPr>
        <w:rFonts w:ascii="Arial" w:hAnsi="Arial"/>
        <w:i/>
        <w:color w:val="406429" w:themeColor="accent6" w:themeShade="94"/>
        <w:sz w:val="22"/>
      </w:rPr>
      <w:tblPr/>
      <w:tcPr>
        <w:tcBorders>
          <w:top w:val="nil"/>
          <w:left w:val="nil"/>
          <w:bottom w:val="nil"/>
          <w:right w:val="single" w:sz="4" w:space="0" w:color="ADD394" w:themeColor="accent6" w:themeTint="90"/>
        </w:tcBorders>
        <w:shd w:val="clear" w:color="auto" w:fill="FFFFFF"/>
      </w:tcPr>
    </w:tblStylePr>
    <w:tblStylePr w:type="lastCol">
      <w:rPr>
        <w:rFonts w:ascii="Arial" w:hAnsi="Arial"/>
        <w:i/>
        <w:color w:val="406429" w:themeColor="accent6" w:themeShade="94"/>
        <w:sz w:val="22"/>
      </w:rPr>
      <w:tblPr/>
      <w:tcPr>
        <w:tcBorders>
          <w:top w:val="nil"/>
          <w:left w:val="single" w:sz="4" w:space="0" w:color="ADD394" w:themeColor="accent6" w:themeTint="90"/>
          <w:bottom w:val="nil"/>
          <w:right w:val="nil"/>
        </w:tcBorders>
        <w:shd w:val="clear" w:color="auto" w:fill="FFFFFF"/>
      </w:tcPr>
    </w:tblStylePr>
    <w:tblStylePr w:type="band1Vert">
      <w:tblPr/>
      <w:tcPr>
        <w:shd w:val="clear" w:color="auto" w:fill="E1EFD8" w:themeFill="accent6" w:themeFillTint="34"/>
      </w:tcPr>
    </w:tblStylePr>
    <w:tblStylePr w:type="band1Horz">
      <w:rPr>
        <w:rFonts w:ascii="Arial" w:hAnsi="Arial"/>
        <w:color w:val="406429" w:themeColor="accent6" w:themeShade="94"/>
        <w:sz w:val="22"/>
      </w:rPr>
      <w:tblPr/>
      <w:tcPr>
        <w:shd w:val="clear" w:color="auto" w:fill="E1EFD8" w:themeFill="accent6" w:themeFillTint="34"/>
      </w:tcPr>
    </w:tblStylePr>
    <w:tblStylePr w:type="band2Horz">
      <w:rPr>
        <w:rFonts w:ascii="Arial" w:hAnsi="Arial"/>
        <w:color w:val="406429" w:themeColor="accent6" w:themeShade="94"/>
        <w:sz w:val="22"/>
      </w:rPr>
    </w:tblStylePr>
  </w:style>
  <w:style w:type="table" w:customStyle="1" w:styleId="112">
    <w:name w:val="清单表 1 浅色1"/>
    <w:basedOn w:val="a2"/>
    <w:uiPriority w:val="99"/>
    <w:qFormat/>
    <w:tblPr/>
    <w:tblStylePr w:type="firstRow">
      <w:rPr>
        <w:b/>
        <w:color w:val="404040"/>
      </w:rPr>
      <w:tblPr/>
      <w:tcPr>
        <w:tcBorders>
          <w:top w:val="nil"/>
          <w:left w:val="nil"/>
          <w:bottom w:val="single" w:sz="4" w:space="0" w:color="000000" w:themeColor="text1"/>
          <w:right w:val="nil"/>
        </w:tcBorders>
      </w:tcPr>
    </w:tblStylePr>
    <w:tblStylePr w:type="lastRow">
      <w:rPr>
        <w:b/>
        <w:color w:val="404040"/>
      </w:rPr>
      <w:tblPr/>
      <w:tcPr>
        <w:tcBorders>
          <w:top w:val="single" w:sz="4" w:space="0" w:color="000000" w:themeColor="text1"/>
          <w:left w:val="nil"/>
          <w:bottom w:val="nil"/>
          <w:right w:val="nil"/>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qFormat/>
    <w:tblPr/>
    <w:tblStylePr w:type="firstRow">
      <w:rPr>
        <w:b/>
        <w:color w:val="404040"/>
      </w:rPr>
      <w:tblPr/>
      <w:tcPr>
        <w:tcBorders>
          <w:top w:val="nil"/>
          <w:left w:val="nil"/>
          <w:bottom w:val="single" w:sz="4" w:space="0" w:color="4472C4" w:themeColor="accent1"/>
          <w:right w:val="nil"/>
        </w:tcBorders>
      </w:tcPr>
    </w:tblStylePr>
    <w:tblStylePr w:type="lastRow">
      <w:rPr>
        <w:b/>
        <w:color w:val="404040"/>
      </w:rPr>
      <w:tblPr/>
      <w:tcPr>
        <w:tcBorders>
          <w:top w:val="single" w:sz="4" w:space="0" w:color="4472C4" w:themeColor="accent1"/>
          <w:left w:val="nil"/>
          <w:bottom w:val="nil"/>
          <w:right w:val="nil"/>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qFormat/>
    <w:tblPr/>
    <w:tblStylePr w:type="firstRow">
      <w:rPr>
        <w:b/>
        <w:color w:val="404040"/>
      </w:rPr>
      <w:tblPr/>
      <w:tcPr>
        <w:tcBorders>
          <w:top w:val="nil"/>
          <w:left w:val="nil"/>
          <w:bottom w:val="single" w:sz="4" w:space="0" w:color="ED7D31" w:themeColor="accent2"/>
          <w:right w:val="nil"/>
        </w:tcBorders>
      </w:tcPr>
    </w:tblStylePr>
    <w:tblStylePr w:type="lastRow">
      <w:rPr>
        <w:b/>
        <w:color w:val="404040"/>
      </w:rPr>
      <w:tblPr/>
      <w:tcPr>
        <w:tcBorders>
          <w:top w:val="single" w:sz="4" w:space="0" w:color="ED7D31" w:themeColor="accent2"/>
          <w:left w:val="nil"/>
          <w:bottom w:val="nil"/>
          <w:right w:val="nil"/>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qFormat/>
    <w:tblPr/>
    <w:tblStylePr w:type="firstRow">
      <w:rPr>
        <w:b/>
        <w:color w:val="404040"/>
      </w:rPr>
      <w:tblPr/>
      <w:tcPr>
        <w:tcBorders>
          <w:top w:val="nil"/>
          <w:left w:val="nil"/>
          <w:bottom w:val="single" w:sz="4" w:space="0" w:color="A5A5A5" w:themeColor="accent3"/>
          <w:right w:val="nil"/>
        </w:tcBorders>
      </w:tcPr>
    </w:tblStylePr>
    <w:tblStylePr w:type="lastRow">
      <w:rPr>
        <w:b/>
        <w:color w:val="404040"/>
      </w:rPr>
      <w:tblPr/>
      <w:tcPr>
        <w:tcBorders>
          <w:top w:val="single" w:sz="4" w:space="0" w:color="A5A5A5" w:themeColor="accent3"/>
          <w:left w:val="nil"/>
          <w:bottom w:val="nil"/>
          <w:right w:val="nil"/>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qFormat/>
    <w:tblPr/>
    <w:tblStylePr w:type="firstRow">
      <w:rPr>
        <w:b/>
        <w:color w:val="404040"/>
      </w:rPr>
      <w:tblPr/>
      <w:tcPr>
        <w:tcBorders>
          <w:top w:val="nil"/>
          <w:left w:val="nil"/>
          <w:bottom w:val="single" w:sz="4" w:space="0" w:color="FFC000" w:themeColor="accent4"/>
          <w:right w:val="nil"/>
        </w:tcBorders>
      </w:tcPr>
    </w:tblStylePr>
    <w:tblStylePr w:type="lastRow">
      <w:rPr>
        <w:b/>
        <w:color w:val="404040"/>
      </w:rPr>
      <w:tblPr/>
      <w:tcPr>
        <w:tcBorders>
          <w:top w:val="single" w:sz="4" w:space="0" w:color="FFC000" w:themeColor="accent4"/>
          <w:left w:val="nil"/>
          <w:bottom w:val="nil"/>
          <w:right w:val="nil"/>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qFormat/>
    <w:tblPr/>
    <w:tblStylePr w:type="firstRow">
      <w:rPr>
        <w:b/>
        <w:color w:val="404040"/>
      </w:rPr>
      <w:tblPr/>
      <w:tcPr>
        <w:tcBorders>
          <w:top w:val="nil"/>
          <w:left w:val="nil"/>
          <w:bottom w:val="single" w:sz="4" w:space="0" w:color="5B9BD5" w:themeColor="accent5"/>
          <w:right w:val="nil"/>
        </w:tcBorders>
      </w:tcPr>
    </w:tblStylePr>
    <w:tblStylePr w:type="lastRow">
      <w:rPr>
        <w:b/>
        <w:color w:val="404040"/>
      </w:rPr>
      <w:tblPr/>
      <w:tcPr>
        <w:tcBorders>
          <w:top w:val="single" w:sz="4" w:space="0" w:color="5B9BD5" w:themeColor="accent5"/>
          <w:left w:val="nil"/>
          <w:bottom w:val="nil"/>
          <w:right w:val="nil"/>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qFormat/>
    <w:tblPr/>
    <w:tblStylePr w:type="firstRow">
      <w:rPr>
        <w:b/>
        <w:color w:val="404040"/>
      </w:rPr>
      <w:tblPr/>
      <w:tcPr>
        <w:tcBorders>
          <w:top w:val="nil"/>
          <w:left w:val="nil"/>
          <w:bottom w:val="single" w:sz="4" w:space="0" w:color="70AD47" w:themeColor="accent6"/>
          <w:right w:val="nil"/>
        </w:tcBorders>
      </w:tcPr>
    </w:tblStylePr>
    <w:tblStylePr w:type="lastRow">
      <w:rPr>
        <w:b/>
        <w:color w:val="404040"/>
      </w:rPr>
      <w:tblPr/>
      <w:tcPr>
        <w:tcBorders>
          <w:top w:val="single" w:sz="4" w:space="0" w:color="70AD47" w:themeColor="accent6"/>
          <w:left w:val="nil"/>
          <w:bottom w:val="nil"/>
          <w:right w:val="nil"/>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customStyle="1" w:styleId="212">
    <w:name w:val="清单表 21"/>
    <w:basedOn w:val="a2"/>
    <w:uiPriority w:val="99"/>
    <w:qFormat/>
    <w:tblPr>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il"/>
          <w:bottom w:val="single" w:sz="4" w:space="0" w:color="6F6F6F" w:themeColor="text1" w:themeTint="90"/>
          <w:right w:val="nil"/>
        </w:tcBorders>
      </w:tcPr>
    </w:tblStylePr>
    <w:tblStylePr w:type="lastRow">
      <w:rPr>
        <w:rFonts w:ascii="Arial" w:hAnsi="Arial"/>
        <w:b/>
        <w:color w:val="404040"/>
        <w:sz w:val="22"/>
      </w:rPr>
      <w:tblPr/>
      <w:tcPr>
        <w:tcBorders>
          <w:top w:val="single" w:sz="4" w:space="0" w:color="6F6F6F" w:themeColor="text1" w:themeTint="90"/>
          <w:left w:val="nil"/>
          <w:bottom w:val="single" w:sz="4" w:space="0" w:color="6F6F6F" w:themeColor="text1"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qFormat/>
    <w:tblPr>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il"/>
          <w:bottom w:val="single" w:sz="4" w:space="0" w:color="95AFDD" w:themeColor="accent1" w:themeTint="90"/>
          <w:right w:val="nil"/>
        </w:tcBorders>
      </w:tcPr>
    </w:tblStylePr>
    <w:tblStylePr w:type="lastRow">
      <w:rPr>
        <w:rFonts w:ascii="Arial" w:hAnsi="Arial"/>
        <w:b/>
        <w:color w:val="404040"/>
        <w:sz w:val="22"/>
      </w:rPr>
      <w:tblPr/>
      <w:tcPr>
        <w:tcBorders>
          <w:top w:val="single" w:sz="4" w:space="0" w:color="95AFDD" w:themeColor="accent1" w:themeTint="90"/>
          <w:left w:val="nil"/>
          <w:bottom w:val="single" w:sz="4" w:space="0" w:color="95AFDD" w:themeColor="accent1"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qFormat/>
    <w:tblPr>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il"/>
          <w:bottom w:val="single" w:sz="4" w:space="0" w:color="F4B58A" w:themeColor="accent2" w:themeTint="90"/>
          <w:right w:val="nil"/>
        </w:tcBorders>
      </w:tcPr>
    </w:tblStylePr>
    <w:tblStylePr w:type="lastRow">
      <w:rPr>
        <w:rFonts w:ascii="Arial" w:hAnsi="Arial"/>
        <w:b/>
        <w:color w:val="404040"/>
        <w:sz w:val="22"/>
      </w:rPr>
      <w:tblPr/>
      <w:tcPr>
        <w:tcBorders>
          <w:top w:val="single" w:sz="4" w:space="0" w:color="F4B58A" w:themeColor="accent2" w:themeTint="90"/>
          <w:left w:val="nil"/>
          <w:bottom w:val="single" w:sz="4" w:space="0" w:color="F4B58A" w:themeColor="accent2"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qFormat/>
    <w:tblPr>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il"/>
          <w:bottom w:val="single" w:sz="4" w:space="0" w:color="CCCCCC" w:themeColor="accent3" w:themeTint="90"/>
          <w:right w:val="nil"/>
        </w:tcBorders>
      </w:tcPr>
    </w:tblStylePr>
    <w:tblStylePr w:type="lastRow">
      <w:rPr>
        <w:rFonts w:ascii="Arial" w:hAnsi="Arial"/>
        <w:b/>
        <w:color w:val="404040"/>
        <w:sz w:val="22"/>
      </w:rPr>
      <w:tblPr/>
      <w:tcPr>
        <w:tcBorders>
          <w:top w:val="single" w:sz="4" w:space="0" w:color="CCCCCC" w:themeColor="accent3" w:themeTint="90"/>
          <w:left w:val="nil"/>
          <w:bottom w:val="single" w:sz="4" w:space="0" w:color="CCCCCC" w:themeColor="accent3"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qFormat/>
    <w:tblPr>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il"/>
          <w:bottom w:val="single" w:sz="4" w:space="0" w:color="FFDB6F" w:themeColor="accent4" w:themeTint="90"/>
          <w:right w:val="nil"/>
        </w:tcBorders>
      </w:tcPr>
    </w:tblStylePr>
    <w:tblStylePr w:type="lastRow">
      <w:rPr>
        <w:rFonts w:ascii="Arial" w:hAnsi="Arial"/>
        <w:b/>
        <w:color w:val="404040"/>
        <w:sz w:val="22"/>
      </w:rPr>
      <w:tblPr/>
      <w:tcPr>
        <w:tcBorders>
          <w:top w:val="single" w:sz="4" w:space="0" w:color="FFDB6F" w:themeColor="accent4" w:themeTint="90"/>
          <w:left w:val="nil"/>
          <w:bottom w:val="single" w:sz="4" w:space="0" w:color="FFDB6F" w:themeColor="accent4"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qFormat/>
    <w:tblPr>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il"/>
          <w:bottom w:val="single" w:sz="4" w:space="0" w:color="A2C6E7" w:themeColor="accent5" w:themeTint="90"/>
          <w:right w:val="nil"/>
        </w:tcBorders>
      </w:tcPr>
    </w:tblStylePr>
    <w:tblStylePr w:type="lastRow">
      <w:rPr>
        <w:rFonts w:ascii="Arial" w:hAnsi="Arial"/>
        <w:b/>
        <w:color w:val="404040"/>
        <w:sz w:val="22"/>
      </w:rPr>
      <w:tblPr/>
      <w:tcPr>
        <w:tcBorders>
          <w:top w:val="single" w:sz="4" w:space="0" w:color="A2C6E7" w:themeColor="accent5" w:themeTint="90"/>
          <w:left w:val="nil"/>
          <w:bottom w:val="single" w:sz="4" w:space="0" w:color="A2C6E7" w:themeColor="accent5"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qFormat/>
    <w:tblPr>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il"/>
          <w:bottom w:val="single" w:sz="4" w:space="0" w:color="ADD394" w:themeColor="accent6" w:themeTint="90"/>
          <w:right w:val="nil"/>
        </w:tcBorders>
      </w:tcPr>
    </w:tblStylePr>
    <w:tblStylePr w:type="lastRow">
      <w:rPr>
        <w:rFonts w:ascii="Arial" w:hAnsi="Arial"/>
        <w:b/>
        <w:color w:val="404040"/>
        <w:sz w:val="22"/>
      </w:rPr>
      <w:tblPr/>
      <w:tcPr>
        <w:tcBorders>
          <w:top w:val="single" w:sz="4" w:space="0" w:color="ADD394" w:themeColor="accent6" w:themeTint="90"/>
          <w:left w:val="nil"/>
          <w:bottom w:val="single" w:sz="4" w:space="0" w:color="ADD394" w:themeColor="accent6"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customStyle="1" w:styleId="312">
    <w:name w:val="清单表 31"/>
    <w:basedOn w:val="a2"/>
    <w:uiPriority w:val="99"/>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qFormat/>
    <w:tblPr>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qFormat/>
    <w:tblPr>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qFormat/>
    <w:tblPr>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qFormat/>
    <w:tblPr>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qFormat/>
    <w:tblPr>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qFormat/>
    <w:tblPr>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412">
    <w:name w:val="清单表 41"/>
    <w:basedOn w:val="a2"/>
    <w:uiPriority w:val="9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qFormat/>
    <w:tblPr>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qFormat/>
    <w:tblPr>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qFormat/>
    <w:tblPr>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qFormat/>
    <w:tblPr>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qFormat/>
    <w:tblPr>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qFormat/>
    <w:tblPr>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customStyle="1" w:styleId="512">
    <w:name w:val="清单表 5 深色1"/>
    <w:basedOn w:val="a2"/>
    <w:uiPriority w:val="99"/>
    <w:qFormat/>
    <w:tblPr>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qFormat/>
    <w:tblPr>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qFormat/>
    <w:tblPr>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qFormat/>
    <w:tblPr>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qFormat/>
    <w:tblPr>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qFormat/>
    <w:tblPr>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qFormat/>
    <w:tblPr>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customStyle="1" w:styleId="610">
    <w:name w:val="清单表 6 彩色1"/>
    <w:basedOn w:val="a2"/>
    <w:uiPriority w:val="99"/>
    <w:qFormat/>
    <w:tblPr>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qFormat/>
    <w:tblPr>
      <w:tblBorders>
        <w:top w:val="single" w:sz="4" w:space="0" w:color="4472C4" w:themeColor="accent1"/>
        <w:bottom w:val="single" w:sz="4" w:space="0" w:color="4472C4" w:themeColor="accent1"/>
      </w:tblBorders>
    </w:tblPr>
    <w:tblStylePr w:type="firstRow">
      <w:rPr>
        <w:b/>
        <w:color w:val="244174" w:themeColor="accent1" w:themeShade="94"/>
      </w:rPr>
      <w:tblPr/>
      <w:tcPr>
        <w:tcBorders>
          <w:bottom w:val="single" w:sz="4" w:space="0" w:color="4472C4" w:themeColor="accent1"/>
        </w:tcBorders>
      </w:tcPr>
    </w:tblStylePr>
    <w:tblStylePr w:type="lastRow">
      <w:rPr>
        <w:b/>
        <w:color w:val="244174" w:themeColor="accent1" w:themeShade="94"/>
      </w:rPr>
      <w:tblPr/>
      <w:tcPr>
        <w:tcBorders>
          <w:top w:val="single" w:sz="4" w:space="0" w:color="4472C4" w:themeColor="accent1"/>
        </w:tcBorders>
      </w:tcPr>
    </w:tblStylePr>
    <w:tblStylePr w:type="firstCol">
      <w:rPr>
        <w:b/>
        <w:color w:val="244174" w:themeColor="accent1" w:themeShade="94"/>
      </w:rPr>
    </w:tblStylePr>
    <w:tblStylePr w:type="lastCol">
      <w:rPr>
        <w:b/>
        <w:color w:val="244174" w:themeColor="accent1" w:themeShade="94"/>
      </w:rPr>
    </w:tblStylePr>
    <w:tblStylePr w:type="band1Vert">
      <w:tblPr/>
      <w:tcPr>
        <w:shd w:val="clear" w:color="auto" w:fill="CFDBF0" w:themeFill="accent1" w:themeFillTint="40"/>
      </w:tcPr>
    </w:tblStylePr>
    <w:tblStylePr w:type="band1Horz">
      <w:rPr>
        <w:rFonts w:ascii="Arial" w:hAnsi="Arial"/>
        <w:color w:val="244174" w:themeColor="accent1" w:themeShade="94"/>
        <w:sz w:val="22"/>
      </w:rPr>
      <w:tblPr/>
      <w:tcPr>
        <w:shd w:val="clear" w:color="auto" w:fill="CFDBF0" w:themeFill="accent1" w:themeFillTint="40"/>
      </w:tcPr>
    </w:tblStylePr>
    <w:tblStylePr w:type="band2Horz">
      <w:rPr>
        <w:rFonts w:ascii="Arial" w:hAnsi="Arial"/>
        <w:color w:val="244174" w:themeColor="accent1" w:themeShade="94"/>
        <w:sz w:val="22"/>
      </w:rPr>
    </w:tblStylePr>
  </w:style>
  <w:style w:type="table" w:customStyle="1" w:styleId="ListTable6Colorful-Accent2">
    <w:name w:val="List Table 6 Colorful - Accent 2"/>
    <w:basedOn w:val="a2"/>
    <w:uiPriority w:val="99"/>
    <w:qFormat/>
    <w:tblPr>
      <w:tblBorders>
        <w:top w:val="single" w:sz="4" w:space="0" w:color="F4B184" w:themeColor="accent2" w:themeTint="97"/>
        <w:bottom w:val="single" w:sz="4" w:space="0" w:color="F4B184" w:themeColor="accent2" w:themeTint="97"/>
      </w:tblBorders>
    </w:tblPr>
    <w:tblStylePr w:type="firstRow">
      <w:rPr>
        <w:b/>
        <w:color w:val="F4B285" w:themeColor="accent2" w:themeTint="96"/>
      </w:rPr>
      <w:tblPr/>
      <w:tcPr>
        <w:tcBorders>
          <w:bottom w:val="single" w:sz="4" w:space="0" w:color="F4B184" w:themeColor="accent2" w:themeTint="97"/>
        </w:tcBorders>
      </w:tcPr>
    </w:tblStylePr>
    <w:tblStylePr w:type="lastRow">
      <w:rPr>
        <w:b/>
        <w:color w:val="F4B285" w:themeColor="accent2" w:themeTint="96"/>
      </w:rPr>
      <w:tblPr/>
      <w:tcPr>
        <w:tcBorders>
          <w:top w:val="single" w:sz="4" w:space="0" w:color="F4B184" w:themeColor="accent2" w:themeTint="97"/>
        </w:tcBorders>
      </w:tcPr>
    </w:tblStylePr>
    <w:tblStylePr w:type="firstCol">
      <w:rPr>
        <w:b/>
        <w:color w:val="F4B285" w:themeColor="accent2" w:themeTint="96"/>
      </w:rPr>
    </w:tblStylePr>
    <w:tblStylePr w:type="lastCol">
      <w:rPr>
        <w:b/>
        <w:color w:val="F4B285" w:themeColor="accent2" w:themeTint="96"/>
      </w:rPr>
    </w:tblStylePr>
    <w:tblStylePr w:type="band1Vert">
      <w:tblPr/>
      <w:tcPr>
        <w:shd w:val="clear" w:color="auto" w:fill="FADECB" w:themeFill="accent2" w:themeFillTint="40"/>
      </w:tcPr>
    </w:tblStylePr>
    <w:tblStylePr w:type="band1Horz">
      <w:rPr>
        <w:rFonts w:ascii="Arial" w:hAnsi="Arial"/>
        <w:color w:val="F4B285" w:themeColor="accent2" w:themeTint="96"/>
        <w:sz w:val="22"/>
      </w:rPr>
      <w:tblPr/>
      <w:tcPr>
        <w:shd w:val="clear" w:color="auto" w:fill="FADECB" w:themeFill="accent2" w:themeFillTint="40"/>
      </w:tcPr>
    </w:tblStylePr>
    <w:tblStylePr w:type="band2Horz">
      <w:rPr>
        <w:rFonts w:ascii="Arial" w:hAnsi="Arial"/>
        <w:color w:val="F4B285" w:themeColor="accent2" w:themeTint="96"/>
        <w:sz w:val="22"/>
      </w:rPr>
    </w:tblStylePr>
  </w:style>
  <w:style w:type="table" w:customStyle="1" w:styleId="ListTable6Colorful-Accent3">
    <w:name w:val="List Table 6 Colorful - Accent 3"/>
    <w:basedOn w:val="a2"/>
    <w:uiPriority w:val="99"/>
    <w:qFormat/>
    <w:tblPr>
      <w:tblBorders>
        <w:top w:val="single" w:sz="4" w:space="0" w:color="C9C9C9" w:themeColor="accent3" w:themeTint="98"/>
        <w:bottom w:val="single" w:sz="4" w:space="0" w:color="C9C9C9" w:themeColor="accent3" w:themeTint="98"/>
      </w:tblBorders>
    </w:tblPr>
    <w:tblStylePr w:type="firstRow">
      <w:rPr>
        <w:b/>
        <w:color w:val="C9C9C9" w:themeColor="accent3" w:themeTint="99"/>
      </w:rPr>
      <w:tblPr/>
      <w:tcPr>
        <w:tcBorders>
          <w:bottom w:val="single" w:sz="4" w:space="0" w:color="C9C9C9" w:themeColor="accent3" w:themeTint="98"/>
        </w:tcBorders>
      </w:tcPr>
    </w:tblStylePr>
    <w:tblStylePr w:type="lastRow">
      <w:rPr>
        <w:b/>
        <w:color w:val="C9C9C9" w:themeColor="accent3" w:themeTint="99"/>
      </w:rPr>
      <w:tblPr/>
      <w:tcPr>
        <w:tcBorders>
          <w:top w:val="single" w:sz="4" w:space="0" w:color="C9C9C9" w:themeColor="accent3" w:themeTint="98"/>
        </w:tcBorders>
      </w:tcPr>
    </w:tblStylePr>
    <w:tblStylePr w:type="firstCol">
      <w:rPr>
        <w:b/>
        <w:color w:val="C9C9C9" w:themeColor="accent3" w:themeTint="99"/>
      </w:rPr>
    </w:tblStylePr>
    <w:tblStylePr w:type="lastCol">
      <w:rPr>
        <w:b/>
        <w:color w:val="C9C9C9" w:themeColor="accent3" w:themeTint="99"/>
      </w:rPr>
    </w:tblStylePr>
    <w:tblStylePr w:type="band1Vert">
      <w:tblPr/>
      <w:tcPr>
        <w:shd w:val="clear" w:color="auto" w:fill="E8E8E8" w:themeFill="accent3" w:themeFillTint="40"/>
      </w:tcPr>
    </w:tblStylePr>
    <w:tblStylePr w:type="band1Horz">
      <w:rPr>
        <w:rFonts w:ascii="Arial" w:hAnsi="Arial"/>
        <w:color w:val="C9C9C9" w:themeColor="accent3" w:themeTint="99"/>
        <w:sz w:val="22"/>
      </w:rPr>
      <w:tblPr/>
      <w:tcPr>
        <w:shd w:val="clear" w:color="auto" w:fill="E8E8E8" w:themeFill="accent3" w:themeFillTint="40"/>
      </w:tcPr>
    </w:tblStylePr>
    <w:tblStylePr w:type="band2Horz">
      <w:rPr>
        <w:rFonts w:ascii="Arial" w:hAnsi="Arial"/>
        <w:color w:val="C9C9C9" w:themeColor="accent3" w:themeTint="99"/>
        <w:sz w:val="22"/>
      </w:rPr>
    </w:tblStylePr>
  </w:style>
  <w:style w:type="table" w:customStyle="1" w:styleId="ListTable6Colorful-Accent4">
    <w:name w:val="List Table 6 Colorful - Accent 4"/>
    <w:basedOn w:val="a2"/>
    <w:uiPriority w:val="99"/>
    <w:qFormat/>
    <w:tblPr>
      <w:tblBorders>
        <w:top w:val="single" w:sz="4" w:space="0" w:color="FFD865" w:themeColor="accent4" w:themeTint="9A"/>
        <w:bottom w:val="single" w:sz="4" w:space="0" w:color="FFD865" w:themeColor="accent4" w:themeTint="9A"/>
      </w:tblBorders>
    </w:tblPr>
    <w:tblStylePr w:type="firstRow">
      <w:rPr>
        <w:b/>
        <w:color w:val="FFD966" w:themeColor="accent4" w:themeTint="99"/>
      </w:rPr>
      <w:tblPr/>
      <w:tcPr>
        <w:tcBorders>
          <w:bottom w:val="single" w:sz="4" w:space="0" w:color="FFD865" w:themeColor="accent4" w:themeTint="9A"/>
        </w:tcBorders>
      </w:tcPr>
    </w:tblStylePr>
    <w:tblStylePr w:type="lastRow">
      <w:rPr>
        <w:b/>
        <w:color w:val="FFD966" w:themeColor="accent4" w:themeTint="99"/>
      </w:rPr>
      <w:tblPr/>
      <w:tcPr>
        <w:tcBorders>
          <w:top w:val="single" w:sz="4" w:space="0" w:color="FFD865" w:themeColor="accent4" w:themeTint="9A"/>
        </w:tcBorders>
      </w:tcPr>
    </w:tblStylePr>
    <w:tblStylePr w:type="firstCol">
      <w:rPr>
        <w:b/>
        <w:color w:val="FFD966" w:themeColor="accent4" w:themeTint="99"/>
      </w:rPr>
    </w:tblStylePr>
    <w:tblStylePr w:type="lastCol">
      <w:rPr>
        <w:b/>
        <w:color w:val="FFD966" w:themeColor="accent4" w:themeTint="99"/>
      </w:rPr>
    </w:tblStylePr>
    <w:tblStylePr w:type="band1Vert">
      <w:tblPr/>
      <w:tcPr>
        <w:shd w:val="clear" w:color="auto" w:fill="FFEFBF" w:themeFill="accent4" w:themeFillTint="40"/>
      </w:tcPr>
    </w:tblStylePr>
    <w:tblStylePr w:type="band1Horz">
      <w:rPr>
        <w:rFonts w:ascii="Arial" w:hAnsi="Arial"/>
        <w:color w:val="FFD966" w:themeColor="accent4" w:themeTint="99"/>
        <w:sz w:val="22"/>
      </w:rPr>
      <w:tblPr/>
      <w:tcPr>
        <w:shd w:val="clear" w:color="auto" w:fill="FFEFBF" w:themeFill="accent4" w:themeFillTint="40"/>
      </w:tcPr>
    </w:tblStylePr>
    <w:tblStylePr w:type="band2Horz">
      <w:rPr>
        <w:rFonts w:ascii="Arial" w:hAnsi="Arial"/>
        <w:color w:val="FFD966" w:themeColor="accent4" w:themeTint="99"/>
        <w:sz w:val="22"/>
      </w:rPr>
    </w:tblStylePr>
  </w:style>
  <w:style w:type="table" w:customStyle="1" w:styleId="ListTable6Colorful-Accent5">
    <w:name w:val="List Table 6 Colorful - Accent 5"/>
    <w:basedOn w:val="a2"/>
    <w:uiPriority w:val="99"/>
    <w:tblPr>
      <w:tblBorders>
        <w:top w:val="single" w:sz="4" w:space="0" w:color="9BC2E5" w:themeColor="accent5" w:themeTint="9A"/>
        <w:bottom w:val="single" w:sz="4" w:space="0" w:color="9BC2E5" w:themeColor="accent5" w:themeTint="9A"/>
      </w:tblBorders>
    </w:tblPr>
    <w:tblStylePr w:type="firstRow">
      <w:rPr>
        <w:b/>
        <w:color w:val="9CC2E5" w:themeColor="accent5" w:themeTint="99"/>
      </w:rPr>
      <w:tblPr/>
      <w:tcPr>
        <w:tcBorders>
          <w:bottom w:val="single" w:sz="4" w:space="0" w:color="9BC2E5" w:themeColor="accent5" w:themeTint="9A"/>
        </w:tcBorders>
      </w:tcPr>
    </w:tblStylePr>
    <w:tblStylePr w:type="lastRow">
      <w:rPr>
        <w:b/>
        <w:color w:val="9CC2E5" w:themeColor="accent5" w:themeTint="99"/>
      </w:rPr>
      <w:tblPr/>
      <w:tcPr>
        <w:tcBorders>
          <w:top w:val="single" w:sz="4" w:space="0" w:color="9BC2E5" w:themeColor="accent5" w:themeTint="9A"/>
        </w:tcBorders>
      </w:tcPr>
    </w:tblStylePr>
    <w:tblStylePr w:type="firstCol">
      <w:rPr>
        <w:b/>
        <w:color w:val="9CC2E5" w:themeColor="accent5" w:themeTint="99"/>
      </w:rPr>
    </w:tblStylePr>
    <w:tblStylePr w:type="lastCol">
      <w:rPr>
        <w:b/>
        <w:color w:val="9CC2E5" w:themeColor="accent5" w:themeTint="99"/>
      </w:rPr>
    </w:tblStylePr>
    <w:tblStylePr w:type="band1Vert">
      <w:tblPr/>
      <w:tcPr>
        <w:shd w:val="clear" w:color="auto" w:fill="D5E5F4" w:themeFill="accent5" w:themeFillTint="40"/>
      </w:tcPr>
    </w:tblStylePr>
    <w:tblStylePr w:type="band1Horz">
      <w:rPr>
        <w:rFonts w:ascii="Arial" w:hAnsi="Arial"/>
        <w:color w:val="9CC2E5" w:themeColor="accent5" w:themeTint="99"/>
        <w:sz w:val="22"/>
      </w:rPr>
      <w:tblPr/>
      <w:tcPr>
        <w:shd w:val="clear" w:color="auto" w:fill="D5E5F4" w:themeFill="accent5" w:themeFillTint="40"/>
      </w:tcPr>
    </w:tblStylePr>
    <w:tblStylePr w:type="band2Horz">
      <w:rPr>
        <w:rFonts w:ascii="Arial" w:hAnsi="Arial"/>
        <w:color w:val="9CC2E5" w:themeColor="accent5" w:themeTint="99"/>
        <w:sz w:val="22"/>
      </w:rPr>
    </w:tblStylePr>
  </w:style>
  <w:style w:type="table" w:customStyle="1" w:styleId="ListTable6Colorful-Accent6">
    <w:name w:val="List Table 6 Colorful - Accent 6"/>
    <w:basedOn w:val="a2"/>
    <w:uiPriority w:val="99"/>
    <w:tblPr>
      <w:tblBorders>
        <w:top w:val="single" w:sz="4" w:space="0" w:color="A9D08E" w:themeColor="accent6" w:themeTint="98"/>
        <w:bottom w:val="single" w:sz="4" w:space="0" w:color="A9D08E" w:themeColor="accent6" w:themeTint="98"/>
      </w:tblBorders>
    </w:tblPr>
    <w:tblStylePr w:type="firstRow">
      <w:rPr>
        <w:b/>
        <w:color w:val="A8D08D" w:themeColor="accent6" w:themeTint="99"/>
      </w:rPr>
      <w:tblPr/>
      <w:tcPr>
        <w:tcBorders>
          <w:bottom w:val="single" w:sz="4" w:space="0" w:color="A9D08E" w:themeColor="accent6" w:themeTint="98"/>
        </w:tcBorders>
      </w:tcPr>
    </w:tblStylePr>
    <w:tblStylePr w:type="lastRow">
      <w:rPr>
        <w:b/>
        <w:color w:val="A8D08D" w:themeColor="accent6" w:themeTint="99"/>
      </w:rPr>
      <w:tblPr/>
      <w:tcPr>
        <w:tcBorders>
          <w:top w:val="single" w:sz="4" w:space="0" w:color="A9D08E" w:themeColor="accent6" w:themeTint="98"/>
        </w:tcBorders>
      </w:tcPr>
    </w:tblStylePr>
    <w:tblStylePr w:type="firstCol">
      <w:rPr>
        <w:b/>
        <w:color w:val="A8D08D" w:themeColor="accent6" w:themeTint="99"/>
      </w:rPr>
    </w:tblStylePr>
    <w:tblStylePr w:type="lastCol">
      <w:rPr>
        <w:b/>
        <w:color w:val="A8D08D" w:themeColor="accent6" w:themeTint="99"/>
      </w:rPr>
    </w:tblStylePr>
    <w:tblStylePr w:type="band1Vert">
      <w:tblPr/>
      <w:tcPr>
        <w:shd w:val="clear" w:color="auto" w:fill="DAEBCF" w:themeFill="accent6" w:themeFillTint="40"/>
      </w:tcPr>
    </w:tblStylePr>
    <w:tblStylePr w:type="band1Horz">
      <w:rPr>
        <w:rFonts w:ascii="Arial" w:hAnsi="Arial"/>
        <w:color w:val="A8D08D" w:themeColor="accent6" w:themeTint="99"/>
        <w:sz w:val="22"/>
      </w:rPr>
      <w:tblPr/>
      <w:tcPr>
        <w:shd w:val="clear" w:color="auto" w:fill="DAEBCF" w:themeFill="accent6" w:themeFillTint="40"/>
      </w:tcPr>
    </w:tblStylePr>
    <w:tblStylePr w:type="band2Horz">
      <w:rPr>
        <w:rFonts w:ascii="Arial" w:hAnsi="Arial"/>
        <w:color w:val="A8D08D" w:themeColor="accent6" w:themeTint="99"/>
        <w:sz w:val="22"/>
      </w:rPr>
    </w:tblStylePr>
  </w:style>
  <w:style w:type="table" w:customStyle="1" w:styleId="710">
    <w:name w:val="清单表 7 彩色1"/>
    <w:basedOn w:val="a2"/>
    <w:uiPriority w:val="99"/>
    <w:qFormat/>
    <w:tblPr>
      <w:tblBorders>
        <w:right w:val="single" w:sz="4" w:space="0" w:color="7F7F7F" w:themeColor="text1" w:themeTint="80"/>
      </w:tblBorders>
    </w:tblPr>
    <w:tblStylePr w:type="firstRow">
      <w:rPr>
        <w:rFonts w:ascii="Arial" w:hAnsi="Arial"/>
        <w:i/>
        <w:color w:val="7F7F7F" w:themeColor="text1" w:themeTint="80"/>
        <w:sz w:val="22"/>
      </w:rPr>
      <w:tblPr/>
      <w:tcPr>
        <w:tcBorders>
          <w:top w:val="nil"/>
          <w:left w:val="nil"/>
          <w:bottom w:val="single" w:sz="4" w:space="0" w:color="7F7F7F" w:themeColor="text1" w:themeTint="80"/>
          <w:right w:val="nil"/>
        </w:tcBorders>
        <w:shd w:val="clear" w:color="auto" w:fill="FFFFFF" w:themeFill="light1"/>
      </w:tcPr>
    </w:tblStylePr>
    <w:tblStylePr w:type="lastRow">
      <w:rPr>
        <w:rFonts w:ascii="Arial" w:hAnsi="Arial"/>
        <w:i/>
        <w:color w:val="7F7F7F" w:themeColor="text1" w:themeTint="80"/>
        <w:sz w:val="22"/>
      </w:rPr>
      <w:tblPr/>
      <w:tcPr>
        <w:tcBorders>
          <w:top w:val="single" w:sz="4" w:space="0" w:color="7F7F7F" w:themeColor="text1" w:themeTint="80"/>
          <w:left w:val="nil"/>
          <w:bottom w:val="nil"/>
          <w:right w:val="nil"/>
        </w:tcBorders>
        <w:shd w:val="clear" w:color="auto" w:fill="FFFFFF" w:themeFill="light1"/>
      </w:tcPr>
    </w:tblStylePr>
    <w:tblStylePr w:type="firstCol">
      <w:pPr>
        <w:jc w:val="right"/>
      </w:pPr>
      <w:rPr>
        <w:rFonts w:ascii="Arial" w:hAnsi="Arial"/>
        <w:i/>
        <w:color w:val="7F7F7F" w:themeColor="text1" w:themeTint="80"/>
        <w:sz w:val="22"/>
      </w:rPr>
      <w:tblPr/>
      <w:tcPr>
        <w:tcBorders>
          <w:top w:val="nil"/>
          <w:left w:val="nil"/>
          <w:bottom w:val="nil"/>
          <w:right w:val="single" w:sz="4" w:space="0" w:color="7F7F7F" w:themeColor="text1" w:themeTint="80"/>
        </w:tcBorders>
        <w:shd w:val="clear" w:color="auto" w:fill="FFFFFF"/>
      </w:tcPr>
    </w:tblStylePr>
    <w:tblStylePr w:type="lastCol">
      <w:rPr>
        <w:rFonts w:ascii="Arial" w:hAnsi="Arial"/>
        <w:i/>
        <w:color w:val="7F7F7F" w:themeColor="text1" w:themeTint="80"/>
        <w:sz w:val="22"/>
      </w:rPr>
      <w:tblPr/>
      <w:tcPr>
        <w:tcBorders>
          <w:top w:val="nil"/>
          <w:left w:val="single" w:sz="4" w:space="0" w:color="7F7F7F" w:themeColor="text1" w:themeTint="80"/>
          <w:bottom w:val="nil"/>
          <w:right w:val="nil"/>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sz w:val="22"/>
      </w:rPr>
      <w:tblPr/>
      <w:tcPr>
        <w:shd w:val="clear" w:color="auto" w:fill="BFBFBF" w:themeFill="text1" w:themeFillTint="40"/>
      </w:tcPr>
    </w:tblStylePr>
    <w:tblStylePr w:type="band2Horz">
      <w:rPr>
        <w:rFonts w:ascii="Arial" w:hAnsi="Arial"/>
        <w:color w:val="7F7F7F" w:themeColor="text1" w:themeTint="80"/>
        <w:sz w:val="22"/>
      </w:rPr>
    </w:tblStylePr>
  </w:style>
  <w:style w:type="table" w:customStyle="1" w:styleId="ListTable7Colorful-Accent1">
    <w:name w:val="List Table 7 Colorful - Accent 1"/>
    <w:basedOn w:val="a2"/>
    <w:uiPriority w:val="99"/>
    <w:qFormat/>
    <w:tblPr>
      <w:tblBorders>
        <w:right w:val="single" w:sz="4" w:space="0" w:color="4472C4" w:themeColor="accent1"/>
      </w:tblBorders>
    </w:tblPr>
    <w:tblStylePr w:type="firstRow">
      <w:rPr>
        <w:rFonts w:ascii="Arial" w:hAnsi="Arial"/>
        <w:i/>
        <w:color w:val="244174" w:themeColor="accent1" w:themeShade="94"/>
        <w:sz w:val="22"/>
      </w:rPr>
      <w:tblPr/>
      <w:tcPr>
        <w:tcBorders>
          <w:top w:val="nil"/>
          <w:left w:val="nil"/>
          <w:bottom w:val="single" w:sz="4" w:space="0" w:color="4472C4" w:themeColor="accent1"/>
          <w:right w:val="nil"/>
        </w:tcBorders>
        <w:shd w:val="clear" w:color="auto" w:fill="FFFFFF" w:themeFill="light1"/>
      </w:tcPr>
    </w:tblStylePr>
    <w:tblStylePr w:type="lastRow">
      <w:rPr>
        <w:rFonts w:ascii="Arial" w:hAnsi="Arial"/>
        <w:i/>
        <w:color w:val="244174" w:themeColor="accent1" w:themeShade="94"/>
        <w:sz w:val="22"/>
      </w:rPr>
      <w:tblPr/>
      <w:tcPr>
        <w:tcBorders>
          <w:top w:val="single" w:sz="4" w:space="0" w:color="4472C4" w:themeColor="accent1"/>
          <w:left w:val="nil"/>
          <w:bottom w:val="nil"/>
          <w:right w:val="nil"/>
        </w:tcBorders>
        <w:shd w:val="clear" w:color="auto" w:fill="FFFFFF" w:themeFill="light1"/>
      </w:tcPr>
    </w:tblStylePr>
    <w:tblStylePr w:type="firstCol">
      <w:pPr>
        <w:jc w:val="right"/>
      </w:pPr>
      <w:rPr>
        <w:rFonts w:ascii="Arial" w:hAnsi="Arial"/>
        <w:i/>
        <w:color w:val="244174" w:themeColor="accent1" w:themeShade="94"/>
        <w:sz w:val="22"/>
      </w:rPr>
      <w:tblPr/>
      <w:tcPr>
        <w:tcBorders>
          <w:top w:val="nil"/>
          <w:left w:val="nil"/>
          <w:bottom w:val="nil"/>
          <w:right w:val="single" w:sz="4" w:space="0" w:color="4472C4" w:themeColor="accent1"/>
        </w:tcBorders>
        <w:shd w:val="clear" w:color="auto" w:fill="FFFFFF"/>
      </w:tcPr>
    </w:tblStylePr>
    <w:tblStylePr w:type="lastCol">
      <w:rPr>
        <w:rFonts w:ascii="Arial" w:hAnsi="Arial"/>
        <w:i/>
        <w:color w:val="244174" w:themeColor="accent1" w:themeShade="94"/>
        <w:sz w:val="22"/>
      </w:rPr>
      <w:tblPr/>
      <w:tcPr>
        <w:tcBorders>
          <w:top w:val="nil"/>
          <w:left w:val="single" w:sz="4" w:space="0" w:color="4472C4" w:themeColor="accent1"/>
          <w:bottom w:val="nil"/>
          <w:right w:val="nil"/>
        </w:tcBorders>
        <w:shd w:val="clear" w:color="auto" w:fill="FFFFFF"/>
      </w:tcPr>
    </w:tblStylePr>
    <w:tblStylePr w:type="band1Vert">
      <w:tblPr/>
      <w:tcPr>
        <w:shd w:val="clear" w:color="auto" w:fill="CFDBF0" w:themeFill="accent1" w:themeFillTint="40"/>
      </w:tcPr>
    </w:tblStylePr>
    <w:tblStylePr w:type="band1Horz">
      <w:rPr>
        <w:rFonts w:ascii="Arial" w:hAnsi="Arial"/>
        <w:color w:val="244174" w:themeColor="accent1" w:themeShade="94"/>
        <w:sz w:val="22"/>
      </w:rPr>
      <w:tblPr/>
      <w:tcPr>
        <w:shd w:val="clear" w:color="auto" w:fill="CFDBF0" w:themeFill="accent1" w:themeFillTint="40"/>
      </w:tcPr>
    </w:tblStylePr>
    <w:tblStylePr w:type="band2Horz">
      <w:rPr>
        <w:rFonts w:ascii="Arial" w:hAnsi="Arial"/>
        <w:color w:val="244174" w:themeColor="accent1" w:themeShade="94"/>
        <w:sz w:val="22"/>
      </w:rPr>
    </w:tblStylePr>
  </w:style>
  <w:style w:type="table" w:customStyle="1" w:styleId="ListTable7Colorful-Accent2">
    <w:name w:val="List Table 7 Colorful - Accent 2"/>
    <w:basedOn w:val="a2"/>
    <w:uiPriority w:val="99"/>
    <w:qFormat/>
    <w:tblPr>
      <w:tblBorders>
        <w:right w:val="single" w:sz="4" w:space="0" w:color="F4B184" w:themeColor="accent2" w:themeTint="97"/>
      </w:tblBorders>
    </w:tblPr>
    <w:tblStylePr w:type="firstRow">
      <w:rPr>
        <w:rFonts w:ascii="Arial" w:hAnsi="Arial"/>
        <w:i/>
        <w:color w:val="F4B285" w:themeColor="accent2" w:themeTint="96"/>
        <w:sz w:val="22"/>
      </w:rPr>
      <w:tblPr/>
      <w:tcPr>
        <w:tcBorders>
          <w:top w:val="nil"/>
          <w:left w:val="nil"/>
          <w:bottom w:val="single" w:sz="4" w:space="0" w:color="F4B184" w:themeColor="accent2" w:themeTint="97"/>
          <w:right w:val="nil"/>
        </w:tcBorders>
        <w:shd w:val="clear" w:color="auto" w:fill="FFFFFF" w:themeFill="light1"/>
      </w:tcPr>
    </w:tblStylePr>
    <w:tblStylePr w:type="lastRow">
      <w:rPr>
        <w:rFonts w:ascii="Arial" w:hAnsi="Arial"/>
        <w:i/>
        <w:color w:val="F4B285" w:themeColor="accent2" w:themeTint="96"/>
        <w:sz w:val="22"/>
      </w:rPr>
      <w:tblPr/>
      <w:tcPr>
        <w:tcBorders>
          <w:top w:val="single" w:sz="4" w:space="0" w:color="F4B184" w:themeColor="accent2" w:themeTint="97"/>
          <w:left w:val="nil"/>
          <w:bottom w:val="nil"/>
          <w:right w:val="nil"/>
        </w:tcBorders>
        <w:shd w:val="clear" w:color="auto" w:fill="FFFFFF" w:themeFill="light1"/>
      </w:tcPr>
    </w:tblStylePr>
    <w:tblStylePr w:type="firstCol">
      <w:pPr>
        <w:jc w:val="right"/>
      </w:pPr>
      <w:rPr>
        <w:rFonts w:ascii="Arial" w:hAnsi="Arial"/>
        <w:i/>
        <w:color w:val="F4B285" w:themeColor="accent2" w:themeTint="96"/>
        <w:sz w:val="22"/>
      </w:rPr>
      <w:tblPr/>
      <w:tcPr>
        <w:tcBorders>
          <w:top w:val="nil"/>
          <w:left w:val="nil"/>
          <w:bottom w:val="nil"/>
          <w:right w:val="single" w:sz="4" w:space="0" w:color="F4B184" w:themeColor="accent2" w:themeTint="97"/>
        </w:tcBorders>
        <w:shd w:val="clear" w:color="auto" w:fill="FFFFFF"/>
      </w:tcPr>
    </w:tblStylePr>
    <w:tblStylePr w:type="lastCol">
      <w:rPr>
        <w:rFonts w:ascii="Arial" w:hAnsi="Arial"/>
        <w:i/>
        <w:color w:val="F4B285" w:themeColor="accent2" w:themeTint="96"/>
        <w:sz w:val="22"/>
      </w:rPr>
      <w:tblPr/>
      <w:tcPr>
        <w:tcBorders>
          <w:top w:val="nil"/>
          <w:left w:val="single" w:sz="4" w:space="0" w:color="F4B184" w:themeColor="accent2" w:themeTint="97"/>
          <w:bottom w:val="nil"/>
          <w:right w:val="nil"/>
        </w:tcBorders>
        <w:shd w:val="clear" w:color="auto" w:fill="FFFFFF"/>
      </w:tcPr>
    </w:tblStylePr>
    <w:tblStylePr w:type="band1Vert">
      <w:tblPr/>
      <w:tcPr>
        <w:shd w:val="clear" w:color="auto" w:fill="FADECB" w:themeFill="accent2" w:themeFillTint="40"/>
      </w:tcPr>
    </w:tblStylePr>
    <w:tblStylePr w:type="band1Horz">
      <w:rPr>
        <w:rFonts w:ascii="Arial" w:hAnsi="Arial"/>
        <w:color w:val="F4B285" w:themeColor="accent2" w:themeTint="96"/>
        <w:sz w:val="22"/>
      </w:rPr>
      <w:tblPr/>
      <w:tcPr>
        <w:shd w:val="clear" w:color="auto" w:fill="FADECB" w:themeFill="accent2" w:themeFillTint="40"/>
      </w:tcPr>
    </w:tblStylePr>
    <w:tblStylePr w:type="band2Horz">
      <w:rPr>
        <w:rFonts w:ascii="Arial" w:hAnsi="Arial"/>
        <w:color w:val="F4B285" w:themeColor="accent2" w:themeTint="96"/>
        <w:sz w:val="22"/>
      </w:rPr>
    </w:tblStylePr>
  </w:style>
  <w:style w:type="table" w:customStyle="1" w:styleId="ListTable7Colorful-Accent3">
    <w:name w:val="List Table 7 Colorful - Accent 3"/>
    <w:basedOn w:val="a2"/>
    <w:uiPriority w:val="99"/>
    <w:qFormat/>
    <w:tblPr>
      <w:tblBorders>
        <w:right w:val="single" w:sz="4" w:space="0" w:color="C9C9C9" w:themeColor="accent3" w:themeTint="98"/>
      </w:tblBorders>
    </w:tblPr>
    <w:tblStylePr w:type="firstRow">
      <w:rPr>
        <w:rFonts w:ascii="Arial" w:hAnsi="Arial"/>
        <w:i/>
        <w:color w:val="C9C9C9" w:themeColor="accent3" w:themeTint="99"/>
        <w:sz w:val="22"/>
      </w:rPr>
      <w:tblPr/>
      <w:tcPr>
        <w:tcBorders>
          <w:top w:val="nil"/>
          <w:left w:val="nil"/>
          <w:bottom w:val="single" w:sz="4" w:space="0" w:color="C9C9C9" w:themeColor="accent3" w:themeTint="98"/>
          <w:right w:val="nil"/>
        </w:tcBorders>
        <w:shd w:val="clear" w:color="auto" w:fill="FFFFFF" w:themeFill="light1"/>
      </w:tcPr>
    </w:tblStylePr>
    <w:tblStylePr w:type="lastRow">
      <w:rPr>
        <w:rFonts w:ascii="Arial" w:hAnsi="Arial"/>
        <w:i/>
        <w:color w:val="C9C9C9" w:themeColor="accent3" w:themeTint="99"/>
        <w:sz w:val="22"/>
      </w:rPr>
      <w:tblPr/>
      <w:tcPr>
        <w:tcBorders>
          <w:top w:val="single" w:sz="4" w:space="0" w:color="C9C9C9" w:themeColor="accent3" w:themeTint="98"/>
          <w:left w:val="nil"/>
          <w:bottom w:val="nil"/>
          <w:right w:val="nil"/>
        </w:tcBorders>
        <w:shd w:val="clear" w:color="auto" w:fill="FFFFFF" w:themeFill="light1"/>
      </w:tcPr>
    </w:tblStylePr>
    <w:tblStylePr w:type="firstCol">
      <w:pPr>
        <w:jc w:val="right"/>
      </w:pPr>
      <w:rPr>
        <w:rFonts w:ascii="Arial" w:hAnsi="Arial"/>
        <w:i/>
        <w:color w:val="C9C9C9" w:themeColor="accent3" w:themeTint="99"/>
        <w:sz w:val="22"/>
      </w:rPr>
      <w:tblPr/>
      <w:tcPr>
        <w:tcBorders>
          <w:top w:val="nil"/>
          <w:left w:val="nil"/>
          <w:bottom w:val="nil"/>
          <w:right w:val="single" w:sz="4" w:space="0" w:color="C9C9C9" w:themeColor="accent3" w:themeTint="98"/>
        </w:tcBorders>
        <w:shd w:val="clear" w:color="auto" w:fill="FFFFFF"/>
      </w:tcPr>
    </w:tblStylePr>
    <w:tblStylePr w:type="lastCol">
      <w:rPr>
        <w:rFonts w:ascii="Arial" w:hAnsi="Arial"/>
        <w:i/>
        <w:color w:val="C9C9C9" w:themeColor="accent3" w:themeTint="99"/>
        <w:sz w:val="22"/>
      </w:rPr>
      <w:tblPr/>
      <w:tcPr>
        <w:tcBorders>
          <w:top w:val="nil"/>
          <w:left w:val="single" w:sz="4" w:space="0" w:color="C9C9C9" w:themeColor="accent3" w:themeTint="98"/>
          <w:bottom w:val="nil"/>
          <w:right w:val="nil"/>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9"/>
        <w:sz w:val="22"/>
      </w:rPr>
      <w:tblPr/>
      <w:tcPr>
        <w:shd w:val="clear" w:color="auto" w:fill="E8E8E8" w:themeFill="accent3" w:themeFillTint="40"/>
      </w:tcPr>
    </w:tblStylePr>
    <w:tblStylePr w:type="band2Horz">
      <w:rPr>
        <w:rFonts w:ascii="Arial" w:hAnsi="Arial"/>
        <w:color w:val="C9C9C9" w:themeColor="accent3" w:themeTint="99"/>
        <w:sz w:val="22"/>
      </w:rPr>
    </w:tblStylePr>
  </w:style>
  <w:style w:type="table" w:customStyle="1" w:styleId="ListTable7Colorful-Accent4">
    <w:name w:val="List Table 7 Colorful - Accent 4"/>
    <w:basedOn w:val="a2"/>
    <w:uiPriority w:val="99"/>
    <w:qFormat/>
    <w:tblPr>
      <w:tblBorders>
        <w:right w:val="single" w:sz="4" w:space="0" w:color="FFD865" w:themeColor="accent4" w:themeTint="9A"/>
      </w:tblBorders>
    </w:tblPr>
    <w:tblStylePr w:type="firstRow">
      <w:rPr>
        <w:rFonts w:ascii="Arial" w:hAnsi="Arial"/>
        <w:i/>
        <w:color w:val="FFD966" w:themeColor="accent4" w:themeTint="99"/>
        <w:sz w:val="22"/>
      </w:rPr>
      <w:tblPr/>
      <w:tcPr>
        <w:tcBorders>
          <w:top w:val="nil"/>
          <w:left w:val="nil"/>
          <w:bottom w:val="single" w:sz="4" w:space="0" w:color="FFD865" w:themeColor="accent4" w:themeTint="9A"/>
          <w:right w:val="nil"/>
        </w:tcBorders>
        <w:shd w:val="clear" w:color="auto" w:fill="FFFFFF" w:themeFill="light1"/>
      </w:tcPr>
    </w:tblStylePr>
    <w:tblStylePr w:type="lastRow">
      <w:rPr>
        <w:rFonts w:ascii="Arial" w:hAnsi="Arial"/>
        <w:i/>
        <w:color w:val="FFD966" w:themeColor="accent4" w:themeTint="99"/>
        <w:sz w:val="22"/>
      </w:rPr>
      <w:tblPr/>
      <w:tcPr>
        <w:tcBorders>
          <w:top w:val="single" w:sz="4" w:space="0" w:color="FFD865" w:themeColor="accent4" w:themeTint="9A"/>
          <w:left w:val="nil"/>
          <w:bottom w:val="nil"/>
          <w:right w:val="nil"/>
        </w:tcBorders>
        <w:shd w:val="clear" w:color="auto" w:fill="FFFFFF" w:themeFill="light1"/>
      </w:tcPr>
    </w:tblStylePr>
    <w:tblStylePr w:type="firstCol">
      <w:pPr>
        <w:jc w:val="right"/>
      </w:pPr>
      <w:rPr>
        <w:rFonts w:ascii="Arial" w:hAnsi="Arial"/>
        <w:i/>
        <w:color w:val="FFD966" w:themeColor="accent4" w:themeTint="99"/>
        <w:sz w:val="22"/>
      </w:rPr>
      <w:tblPr/>
      <w:tcPr>
        <w:tcBorders>
          <w:top w:val="nil"/>
          <w:left w:val="nil"/>
          <w:bottom w:val="nil"/>
          <w:right w:val="single" w:sz="4" w:space="0" w:color="FFD865" w:themeColor="accent4" w:themeTint="9A"/>
        </w:tcBorders>
        <w:shd w:val="clear" w:color="auto" w:fill="FFFFFF"/>
      </w:tcPr>
    </w:tblStylePr>
    <w:tblStylePr w:type="lastCol">
      <w:rPr>
        <w:rFonts w:ascii="Arial" w:hAnsi="Arial"/>
        <w:i/>
        <w:color w:val="FFD966" w:themeColor="accent4" w:themeTint="99"/>
        <w:sz w:val="22"/>
      </w:rPr>
      <w:tblPr/>
      <w:tcPr>
        <w:tcBorders>
          <w:top w:val="nil"/>
          <w:left w:val="single" w:sz="4" w:space="0" w:color="FFD865" w:themeColor="accent4" w:themeTint="9A"/>
          <w:bottom w:val="nil"/>
          <w:right w:val="nil"/>
        </w:tcBorders>
        <w:shd w:val="clear" w:color="auto" w:fill="FFFFFF"/>
      </w:tcPr>
    </w:tblStylePr>
    <w:tblStylePr w:type="band1Vert">
      <w:tblPr/>
      <w:tcPr>
        <w:shd w:val="clear" w:color="auto" w:fill="FFEFBF" w:themeFill="accent4" w:themeFillTint="40"/>
      </w:tcPr>
    </w:tblStylePr>
    <w:tblStylePr w:type="band1Horz">
      <w:rPr>
        <w:rFonts w:ascii="Arial" w:hAnsi="Arial"/>
        <w:color w:val="FFD966" w:themeColor="accent4" w:themeTint="99"/>
        <w:sz w:val="22"/>
      </w:rPr>
      <w:tblPr/>
      <w:tcPr>
        <w:shd w:val="clear" w:color="auto" w:fill="FFEFBF" w:themeFill="accent4" w:themeFillTint="40"/>
      </w:tcPr>
    </w:tblStylePr>
    <w:tblStylePr w:type="band2Horz">
      <w:rPr>
        <w:rFonts w:ascii="Arial" w:hAnsi="Arial"/>
        <w:color w:val="FFD966" w:themeColor="accent4" w:themeTint="99"/>
        <w:sz w:val="22"/>
      </w:rPr>
    </w:tblStylePr>
  </w:style>
  <w:style w:type="table" w:customStyle="1" w:styleId="ListTable7Colorful-Accent5">
    <w:name w:val="List Table 7 Colorful - Accent 5"/>
    <w:basedOn w:val="a2"/>
    <w:uiPriority w:val="99"/>
    <w:qFormat/>
    <w:tblPr>
      <w:tblBorders>
        <w:right w:val="single" w:sz="4" w:space="0" w:color="9BC2E5" w:themeColor="accent5" w:themeTint="9A"/>
      </w:tblBorders>
    </w:tblPr>
    <w:tblStylePr w:type="firstRow">
      <w:rPr>
        <w:rFonts w:ascii="Arial" w:hAnsi="Arial"/>
        <w:i/>
        <w:color w:val="9CC2E5" w:themeColor="accent5" w:themeTint="99"/>
        <w:sz w:val="22"/>
      </w:rPr>
      <w:tblPr/>
      <w:tcPr>
        <w:tcBorders>
          <w:top w:val="nil"/>
          <w:left w:val="nil"/>
          <w:bottom w:val="single" w:sz="4" w:space="0" w:color="9BC2E5" w:themeColor="accent5" w:themeTint="9A"/>
          <w:right w:val="nil"/>
        </w:tcBorders>
        <w:shd w:val="clear" w:color="auto" w:fill="FFFFFF" w:themeFill="light1"/>
      </w:tcPr>
    </w:tblStylePr>
    <w:tblStylePr w:type="lastRow">
      <w:rPr>
        <w:rFonts w:ascii="Arial" w:hAnsi="Arial"/>
        <w:i/>
        <w:color w:val="9CC2E5" w:themeColor="accent5" w:themeTint="99"/>
        <w:sz w:val="22"/>
      </w:rPr>
      <w:tblPr/>
      <w:tcPr>
        <w:tcBorders>
          <w:top w:val="single" w:sz="4" w:space="0" w:color="9BC2E5" w:themeColor="accent5" w:themeTint="9A"/>
          <w:left w:val="nil"/>
          <w:bottom w:val="nil"/>
          <w:right w:val="nil"/>
        </w:tcBorders>
        <w:shd w:val="clear" w:color="auto" w:fill="FFFFFF" w:themeFill="light1"/>
      </w:tcPr>
    </w:tblStylePr>
    <w:tblStylePr w:type="firstCol">
      <w:pPr>
        <w:jc w:val="right"/>
      </w:pPr>
      <w:rPr>
        <w:rFonts w:ascii="Arial" w:hAnsi="Arial"/>
        <w:i/>
        <w:color w:val="9CC2E5" w:themeColor="accent5" w:themeTint="99"/>
        <w:sz w:val="22"/>
      </w:rPr>
      <w:tblPr/>
      <w:tcPr>
        <w:tcBorders>
          <w:top w:val="nil"/>
          <w:left w:val="nil"/>
          <w:bottom w:val="nil"/>
          <w:right w:val="single" w:sz="4" w:space="0" w:color="9BC2E5" w:themeColor="accent5" w:themeTint="9A"/>
        </w:tcBorders>
        <w:shd w:val="clear" w:color="auto" w:fill="FFFFFF"/>
      </w:tcPr>
    </w:tblStylePr>
    <w:tblStylePr w:type="lastCol">
      <w:rPr>
        <w:rFonts w:ascii="Arial" w:hAnsi="Arial"/>
        <w:i/>
        <w:color w:val="9CC2E5" w:themeColor="accent5" w:themeTint="99"/>
        <w:sz w:val="22"/>
      </w:rPr>
      <w:tblPr/>
      <w:tcPr>
        <w:tcBorders>
          <w:top w:val="nil"/>
          <w:left w:val="single" w:sz="4" w:space="0" w:color="9BC2E5" w:themeColor="accent5" w:themeTint="9A"/>
          <w:bottom w:val="nil"/>
          <w:right w:val="nil"/>
        </w:tcBorders>
        <w:shd w:val="clear" w:color="auto" w:fill="FFFFFF"/>
      </w:tcPr>
    </w:tblStylePr>
    <w:tblStylePr w:type="band1Vert">
      <w:tblPr/>
      <w:tcPr>
        <w:shd w:val="clear" w:color="auto" w:fill="D5E5F4" w:themeFill="accent5" w:themeFillTint="40"/>
      </w:tcPr>
    </w:tblStylePr>
    <w:tblStylePr w:type="band1Horz">
      <w:rPr>
        <w:rFonts w:ascii="Arial" w:hAnsi="Arial"/>
        <w:color w:val="9CC2E5" w:themeColor="accent5" w:themeTint="99"/>
        <w:sz w:val="22"/>
      </w:rPr>
      <w:tblPr/>
      <w:tcPr>
        <w:shd w:val="clear" w:color="auto" w:fill="D5E5F4" w:themeFill="accent5" w:themeFillTint="40"/>
      </w:tcPr>
    </w:tblStylePr>
    <w:tblStylePr w:type="band2Horz">
      <w:rPr>
        <w:rFonts w:ascii="Arial" w:hAnsi="Arial"/>
        <w:color w:val="9CC2E5" w:themeColor="accent5" w:themeTint="99"/>
        <w:sz w:val="22"/>
      </w:rPr>
    </w:tblStylePr>
  </w:style>
  <w:style w:type="table" w:customStyle="1" w:styleId="ListTable7Colorful-Accent6">
    <w:name w:val="List Table 7 Colorful - Accent 6"/>
    <w:basedOn w:val="a2"/>
    <w:uiPriority w:val="99"/>
    <w:qFormat/>
    <w:tblPr>
      <w:tblBorders>
        <w:right w:val="single" w:sz="4" w:space="0" w:color="A9D08E" w:themeColor="accent6" w:themeTint="98"/>
      </w:tblBorders>
    </w:tblPr>
    <w:tblStylePr w:type="firstRow">
      <w:rPr>
        <w:rFonts w:ascii="Arial" w:hAnsi="Arial"/>
        <w:i/>
        <w:color w:val="A8D08D" w:themeColor="accent6" w:themeTint="99"/>
        <w:sz w:val="22"/>
      </w:rPr>
      <w:tblPr/>
      <w:tcPr>
        <w:tcBorders>
          <w:top w:val="nil"/>
          <w:left w:val="nil"/>
          <w:bottom w:val="single" w:sz="4" w:space="0" w:color="A9D08E" w:themeColor="accent6" w:themeTint="98"/>
          <w:right w:val="nil"/>
        </w:tcBorders>
        <w:shd w:val="clear" w:color="auto" w:fill="FFFFFF" w:themeFill="light1"/>
      </w:tcPr>
    </w:tblStylePr>
    <w:tblStylePr w:type="lastRow">
      <w:rPr>
        <w:rFonts w:ascii="Arial" w:hAnsi="Arial"/>
        <w:i/>
        <w:color w:val="A8D08D" w:themeColor="accent6" w:themeTint="99"/>
        <w:sz w:val="22"/>
      </w:rPr>
      <w:tblPr/>
      <w:tcPr>
        <w:tcBorders>
          <w:top w:val="single" w:sz="4" w:space="0" w:color="A9D08E" w:themeColor="accent6" w:themeTint="98"/>
          <w:left w:val="nil"/>
          <w:bottom w:val="nil"/>
          <w:right w:val="nil"/>
        </w:tcBorders>
        <w:shd w:val="clear" w:color="auto" w:fill="FFFFFF" w:themeFill="light1"/>
      </w:tcPr>
    </w:tblStylePr>
    <w:tblStylePr w:type="firstCol">
      <w:pPr>
        <w:jc w:val="right"/>
      </w:pPr>
      <w:rPr>
        <w:rFonts w:ascii="Arial" w:hAnsi="Arial"/>
        <w:i/>
        <w:color w:val="A8D08D" w:themeColor="accent6" w:themeTint="99"/>
        <w:sz w:val="22"/>
      </w:rPr>
      <w:tblPr/>
      <w:tcPr>
        <w:tcBorders>
          <w:top w:val="nil"/>
          <w:left w:val="nil"/>
          <w:bottom w:val="nil"/>
          <w:right w:val="single" w:sz="4" w:space="0" w:color="A9D08E" w:themeColor="accent6" w:themeTint="98"/>
        </w:tcBorders>
        <w:shd w:val="clear" w:color="auto" w:fill="FFFFFF"/>
      </w:tcPr>
    </w:tblStylePr>
    <w:tblStylePr w:type="lastCol">
      <w:rPr>
        <w:rFonts w:ascii="Arial" w:hAnsi="Arial"/>
        <w:i/>
        <w:color w:val="A8D08D" w:themeColor="accent6" w:themeTint="99"/>
        <w:sz w:val="22"/>
      </w:rPr>
      <w:tblPr/>
      <w:tcPr>
        <w:tcBorders>
          <w:top w:val="nil"/>
          <w:left w:val="single" w:sz="4" w:space="0" w:color="A9D08E" w:themeColor="accent6" w:themeTint="98"/>
          <w:bottom w:val="nil"/>
          <w:right w:val="nil"/>
        </w:tcBorders>
        <w:shd w:val="clear" w:color="auto" w:fill="FFFFFF"/>
      </w:tcPr>
    </w:tblStylePr>
    <w:tblStylePr w:type="band1Vert">
      <w:tblPr/>
      <w:tcPr>
        <w:shd w:val="clear" w:color="auto" w:fill="DAEBCF" w:themeFill="accent6" w:themeFillTint="40"/>
      </w:tcPr>
    </w:tblStylePr>
    <w:tblStylePr w:type="band1Horz">
      <w:rPr>
        <w:rFonts w:ascii="Arial" w:hAnsi="Arial"/>
        <w:color w:val="A8D08D" w:themeColor="accent6" w:themeTint="99"/>
        <w:sz w:val="22"/>
      </w:rPr>
      <w:tblPr/>
      <w:tcPr>
        <w:shd w:val="clear" w:color="auto" w:fill="DAEBCF" w:themeFill="accent6" w:themeFillTint="40"/>
      </w:tcPr>
    </w:tblStylePr>
    <w:tblStylePr w:type="band2Horz">
      <w:rPr>
        <w:rFonts w:ascii="Arial" w:hAnsi="Arial"/>
        <w:color w:val="A8D08D" w:themeColor="accent6" w:themeTint="99"/>
        <w:sz w:val="22"/>
      </w:rPr>
    </w:tblStylePr>
  </w:style>
  <w:style w:type="table" w:customStyle="1" w:styleId="Lined-Accent">
    <w:name w:val="Lined - Accent"/>
    <w:basedOn w:val="a2"/>
    <w:uiPriority w:val="99"/>
    <w:qFormat/>
    <w:rPr>
      <w:color w:val="404040"/>
      <w:lang w:eastAsia="en-US"/>
    </w:rPr>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qFormat/>
    <w:rPr>
      <w:color w:val="404040"/>
      <w:lang w:eastAsia="en-US"/>
    </w:rPr>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qFormat/>
    <w:rPr>
      <w:color w:val="404040"/>
      <w:lang w:eastAsia="en-US"/>
    </w:rPr>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qFormat/>
    <w:rPr>
      <w:color w:val="404040"/>
      <w:lang w:eastAsia="en-US"/>
    </w:rPr>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qFormat/>
    <w:rPr>
      <w:color w:val="404040"/>
      <w:lang w:eastAsia="en-US"/>
    </w:rPr>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qFormat/>
    <w:rPr>
      <w:color w:val="404040"/>
      <w:lang w:eastAsia="en-US"/>
    </w:rPr>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qFormat/>
    <w:rPr>
      <w:color w:val="404040"/>
      <w:lang w:eastAsia="en-US"/>
    </w:rPr>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qFormat/>
    <w:rPr>
      <w:color w:val="404040"/>
      <w:lang w:eastAsia="en-US"/>
    </w:rPr>
    <w:tblPr>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qFormat/>
    <w:rPr>
      <w:color w:val="404040"/>
      <w:lang w:eastAsia="en-US"/>
    </w:rPr>
    <w:tblPr>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qFormat/>
    <w:rPr>
      <w:color w:val="404040"/>
      <w:lang w:eastAsia="en-US"/>
    </w:rPr>
    <w:tblPr>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qFormat/>
    <w:rPr>
      <w:color w:val="404040"/>
      <w:lang w:eastAsia="en-US"/>
    </w:rPr>
    <w:tblPr>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qFormat/>
    <w:rPr>
      <w:color w:val="404040"/>
      <w:lang w:eastAsia="en-US"/>
    </w:rPr>
    <w:tblPr>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qFormat/>
    <w:rPr>
      <w:color w:val="404040"/>
      <w:lang w:eastAsia="en-US"/>
    </w:rPr>
    <w:tblPr>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qFormat/>
    <w:rPr>
      <w:color w:val="404040"/>
      <w:lang w:eastAsia="en-US"/>
    </w:rPr>
    <w:tblPr>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qFormat/>
    <w:tblPr>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qFormat/>
    <w:tblPr>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qFormat/>
    <w:tblPr>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qFormat/>
    <w:tblPr>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qFormat/>
    <w:tblPr>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qFormat/>
    <w:tblPr>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qFormat/>
    <w:tblPr>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f7">
    <w:name w:val="脚注文本 字符"/>
    <w:link w:val="af6"/>
    <w:uiPriority w:val="99"/>
    <w:qFormat/>
    <w:rPr>
      <w:sz w:val="18"/>
    </w:rPr>
  </w:style>
  <w:style w:type="character" w:customStyle="1" w:styleId="af">
    <w:name w:val="尾注文本 字符"/>
    <w:link w:val="ae"/>
    <w:uiPriority w:val="99"/>
    <w:qFormat/>
    <w:rPr>
      <w:sz w:val="20"/>
    </w:rPr>
  </w:style>
  <w:style w:type="paragraph" w:customStyle="1" w:styleId="TOC10">
    <w:name w:val="TOC 标题1"/>
    <w:uiPriority w:val="39"/>
    <w:unhideWhenUsed/>
    <w:qFormat/>
    <w:pPr>
      <w:pBdr>
        <w:top w:val="none" w:sz="0" w:space="0" w:color="000000"/>
        <w:left w:val="none" w:sz="0" w:space="0" w:color="000000"/>
        <w:bottom w:val="none" w:sz="0" w:space="0" w:color="000000"/>
        <w:right w:val="none" w:sz="0" w:space="0" w:color="000000"/>
        <w:between w:val="none" w:sz="0" w:space="0" w:color="000000"/>
      </w:pBdr>
    </w:pPr>
    <w:rPr>
      <w:szCs w:val="22"/>
    </w:rPr>
  </w:style>
  <w:style w:type="character" w:customStyle="1" w:styleId="af3">
    <w:name w:val="页脚 字符"/>
    <w:link w:val="af1"/>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spacing w:before="60" w:after="180"/>
      <w:jc w:val="center"/>
    </w:pPr>
    <w:rPr>
      <w:b/>
      <w:lang w:eastAsia="en-US"/>
    </w:rPr>
  </w:style>
  <w:style w:type="character" w:customStyle="1" w:styleId="B3Char2">
    <w:name w:val="B3 Char2"/>
    <w:link w:val="B3"/>
    <w:qFormat/>
    <w:rPr>
      <w:rFonts w:ascii="Arial" w:hAnsi="Arial"/>
      <w:lang w:val="en-GB" w:eastAsia="en-US"/>
    </w:rPr>
  </w:style>
  <w:style w:type="paragraph" w:customStyle="1" w:styleId="B3">
    <w:name w:val="B3"/>
    <w:basedOn w:val="32"/>
    <w:link w:val="B3Char2"/>
    <w:qFormat/>
    <w:pPr>
      <w:spacing w:after="180"/>
      <w:jc w:val="left"/>
    </w:pPr>
    <w:rPr>
      <w:lang w:eastAsia="en-US"/>
    </w:rPr>
  </w:style>
  <w:style w:type="character" w:customStyle="1" w:styleId="PLChar">
    <w:name w:val="PL Char"/>
    <w:link w:val="PL"/>
    <w:qFormat/>
    <w:rPr>
      <w:rFonts w:ascii="Courier New" w:eastAsia="Times New Roman" w:hAnsi="Courier New"/>
      <w:sz w:val="16"/>
      <w:lang w:val="en-US" w:eastAsia="zh-CN" w:bidi="ar-SA"/>
    </w:rPr>
  </w:style>
  <w:style w:type="paragraph" w:customStyle="1" w:styleId="PL">
    <w:name w:val="PL"/>
    <w:link w:val="PLChar"/>
    <w:qFormat/>
    <w:pPr>
      <w:pBdr>
        <w:top w:val="none" w:sz="0" w:space="0" w:color="000000"/>
        <w:left w:val="none" w:sz="0" w:space="0" w:color="000000"/>
        <w:bottom w:val="none" w:sz="0" w:space="0" w:color="000000"/>
        <w:right w:val="none" w:sz="0" w:space="0" w:color="000000"/>
        <w:between w:val="none" w:sz="0" w:space="0" w:color="000000"/>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szCs w:val="22"/>
    </w:rPr>
  </w:style>
  <w:style w:type="character" w:customStyle="1" w:styleId="af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paragraph" w:customStyle="1" w:styleId="B2">
    <w:name w:val="B2"/>
    <w:basedOn w:val="23"/>
    <w:link w:val="B2Char"/>
    <w:qFormat/>
    <w:pPr>
      <w:spacing w:after="180"/>
      <w:jc w:val="left"/>
    </w:pPr>
    <w:rPr>
      <w:lang w:eastAsia="en-US"/>
    </w:rPr>
  </w:style>
  <w:style w:type="character" w:customStyle="1" w:styleId="TALCar">
    <w:name w:val="TAL Car"/>
    <w:link w:val="TAL"/>
    <w:qFormat/>
    <w:rPr>
      <w:rFonts w:ascii="Arial" w:hAnsi="Arial"/>
      <w:sz w:val="18"/>
      <w:lang w:val="en-GB" w:eastAsia="en-US"/>
    </w:rPr>
  </w:style>
  <w:style w:type="paragraph" w:customStyle="1" w:styleId="TAL">
    <w:name w:val="TAL"/>
    <w:basedOn w:val="a0"/>
    <w:link w:val="TALCar"/>
    <w:qFormat/>
    <w:pPr>
      <w:keepNext/>
      <w:keepLines/>
      <w:spacing w:after="0"/>
      <w:jc w:val="left"/>
    </w:pPr>
    <w:rPr>
      <w:sz w:val="18"/>
      <w:lang w:eastAsia="en-US"/>
    </w:rPr>
  </w:style>
  <w:style w:type="character" w:customStyle="1" w:styleId="Doc-titleChar">
    <w:name w:val="Doc-title Char"/>
    <w:link w:val="Doc-title"/>
    <w:qFormat/>
    <w:rPr>
      <w:rFonts w:ascii="Arial" w:eastAsia="MS Mincho" w:hAnsi="Arial" w:cs="Arial"/>
      <w:sz w:val="24"/>
      <w:szCs w:val="24"/>
      <w:lang w:val="en-GB"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character" w:customStyle="1" w:styleId="st">
    <w:name w:val="st"/>
    <w:qFormat/>
  </w:style>
  <w:style w:type="character" w:customStyle="1" w:styleId="B1Char1">
    <w:name w:val="B1 Char1"/>
    <w:qFormat/>
    <w:rPr>
      <w:rFonts w:eastAsia="Times New Roman"/>
    </w:rPr>
  </w:style>
  <w:style w:type="character" w:customStyle="1" w:styleId="11">
    <w:name w:val="正文文本 字符1"/>
    <w:link w:val="a5"/>
    <w:qFormat/>
    <w:rPr>
      <w:rFonts w:ascii="Arial" w:hAnsi="Arial"/>
      <w:lang w:val="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paragraph" w:customStyle="1" w:styleId="B1">
    <w:name w:val="B1"/>
    <w:basedOn w:val="af9"/>
    <w:link w:val="B1Char"/>
    <w:qFormat/>
    <w:pPr>
      <w:spacing w:after="180"/>
      <w:jc w:val="left"/>
    </w:pPr>
    <w:rPr>
      <w:lang w:eastAsia="en-US"/>
    </w:rPr>
  </w:style>
  <w:style w:type="character" w:customStyle="1" w:styleId="TFChar">
    <w:name w:val="TF Char"/>
    <w:link w:val="TF"/>
    <w:qFormat/>
    <w:rPr>
      <w:rFonts w:ascii="Arial" w:hAnsi="Arial"/>
      <w:b/>
      <w:lang w:val="en-GB" w:eastAsia="en-US"/>
    </w:rPr>
  </w:style>
  <w:style w:type="paragraph" w:customStyle="1" w:styleId="TF">
    <w:name w:val="TF"/>
    <w:basedOn w:val="TH"/>
    <w:link w:val="TFChar"/>
    <w:qFormat/>
    <w:pPr>
      <w:keepNext w:val="0"/>
      <w:spacing w:before="0" w:after="240"/>
    </w:pPr>
  </w:style>
  <w:style w:type="character" w:customStyle="1" w:styleId="10">
    <w:name w:val="标题 1 字符"/>
    <w:link w:val="1"/>
    <w:qFormat/>
    <w:rPr>
      <w:rFonts w:ascii="Arial" w:hAnsi="Arial"/>
      <w:sz w:val="36"/>
      <w:szCs w:val="36"/>
      <w:lang w:val="en-GB"/>
    </w:rPr>
  </w:style>
  <w:style w:type="character" w:customStyle="1" w:styleId="B4Char">
    <w:name w:val="B4 Char"/>
    <w:link w:val="B4"/>
    <w:qFormat/>
    <w:rPr>
      <w:rFonts w:ascii="Arial" w:hAnsi="Arial"/>
      <w:lang w:val="en-GB" w:eastAsia="en-US"/>
    </w:rPr>
  </w:style>
  <w:style w:type="paragraph" w:customStyle="1" w:styleId="B4">
    <w:name w:val="B4"/>
    <w:basedOn w:val="42"/>
    <w:link w:val="B4Char"/>
    <w:qFormat/>
    <w:pPr>
      <w:spacing w:after="180"/>
      <w:jc w:val="left"/>
    </w:pPr>
    <w:rPr>
      <w:lang w:eastAsia="en-US"/>
    </w:rPr>
  </w:style>
  <w:style w:type="character" w:customStyle="1" w:styleId="ZGSM">
    <w:name w:val="ZGSM"/>
    <w:qFormat/>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qFormat/>
    <w:rPr>
      <w:rFonts w:ascii="Arial" w:eastAsia="MS Mincho" w:hAnsi="Arial"/>
      <w:b/>
      <w:sz w:val="24"/>
      <w:szCs w:val="24"/>
      <w:lang w:val="en-GB" w:eastAsia="en-GB"/>
    </w:rPr>
  </w:style>
  <w:style w:type="paragraph" w:customStyle="1" w:styleId="EmailDiscussion">
    <w:name w:val="EmailDiscussion"/>
    <w:basedOn w:val="a0"/>
    <w:next w:val="Doc-text2"/>
    <w:link w:val="EmailDiscussionChar"/>
    <w:qFormat/>
    <w:pPr>
      <w:numPr>
        <w:numId w:val="7"/>
      </w:numPr>
      <w:spacing w:before="40" w:after="0"/>
      <w:jc w:val="left"/>
    </w:pPr>
    <w:rPr>
      <w:rFonts w:eastAsia="MS Mincho"/>
      <w:b/>
      <w:sz w:val="24"/>
      <w:szCs w:val="24"/>
      <w:lang w:eastAsia="en-GB"/>
    </w:rPr>
  </w:style>
  <w:style w:type="character" w:customStyle="1" w:styleId="B5Char">
    <w:name w:val="B5 Char"/>
    <w:link w:val="B5"/>
    <w:qFormat/>
    <w:rPr>
      <w:rFonts w:ascii="Arial" w:hAnsi="Arial"/>
      <w:lang w:val="en-GB" w:eastAsia="en-US"/>
    </w:rPr>
  </w:style>
  <w:style w:type="paragraph" w:customStyle="1" w:styleId="B5">
    <w:name w:val="B5"/>
    <w:basedOn w:val="52"/>
    <w:link w:val="B5Char"/>
    <w:qFormat/>
    <w:pPr>
      <w:spacing w:after="180"/>
      <w:jc w:val="left"/>
    </w:pPr>
    <w:rPr>
      <w:lang w:eastAsia="en-US"/>
    </w:rPr>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af4">
    <w:name w:val="页眉 字符"/>
    <w:link w:val="af2"/>
    <w:uiPriority w:val="99"/>
    <w:qFormat/>
    <w:rPr>
      <w:rFonts w:ascii="Arial" w:hAnsi="Arial"/>
      <w:b/>
      <w:bCs/>
      <w:sz w:val="18"/>
      <w:szCs w:val="18"/>
      <w:lang w:val="en-US" w:eastAsia="zh-CN" w:bidi="ar-SA"/>
    </w:rPr>
  </w:style>
  <w:style w:type="character" w:customStyle="1" w:styleId="CRCoverPageZchn">
    <w:name w:val="CR Cover Page Zchn"/>
    <w:link w:val="CRCoverPage"/>
    <w:qFormat/>
    <w:rPr>
      <w:rFonts w:ascii="Arial" w:hAnsi="Arial"/>
      <w:lang w:val="en-GB" w:eastAsia="en-US"/>
    </w:rPr>
  </w:style>
  <w:style w:type="paragraph" w:customStyle="1" w:styleId="CRCoverPage">
    <w:name w:val="CR Cover Page"/>
    <w:link w:val="CRCoverPageZchn"/>
    <w:qFormat/>
    <w:pPr>
      <w:pBdr>
        <w:top w:val="none" w:sz="0" w:space="0" w:color="000000"/>
        <w:left w:val="none" w:sz="0" w:space="0" w:color="000000"/>
        <w:bottom w:val="none" w:sz="0" w:space="0" w:color="000000"/>
        <w:right w:val="none" w:sz="0" w:space="0" w:color="000000"/>
        <w:between w:val="none" w:sz="0" w:space="0" w:color="000000"/>
      </w:pBdr>
      <w:spacing w:after="120"/>
    </w:pPr>
    <w:rPr>
      <w:rFonts w:ascii="Arial" w:hAnsi="Arial"/>
      <w:szCs w:val="22"/>
      <w:lang w:val="en-GB" w:eastAsia="en-US"/>
    </w:rPr>
  </w:style>
  <w:style w:type="character" w:customStyle="1" w:styleId="NOChar">
    <w:name w:val="NO Char"/>
    <w:link w:val="NO"/>
    <w:qFormat/>
    <w:rPr>
      <w:rFonts w:ascii="Times New Roman" w:eastAsia="Times New Roman" w:hAnsi="Times New Roman"/>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character" w:customStyle="1" w:styleId="affa">
    <w:name w:val="正文文本 字符"/>
    <w:qFormat/>
    <w:rPr>
      <w:rFonts w:ascii="Arial" w:hAnsi="Arial"/>
      <w:lang w:val="en-GB"/>
    </w:rPr>
  </w:style>
  <w:style w:type="paragraph" w:customStyle="1" w:styleId="ZG">
    <w:name w:val="ZG"/>
    <w:qFormat/>
    <w:pPr>
      <w:framePr w:wrap="notBeside" w:vAnchor="page" w:hAnchor="margin" w:xAlign="right" w:y="6805"/>
      <w:widowControl w:val="0"/>
      <w:pBdr>
        <w:top w:val="none" w:sz="0" w:space="0" w:color="000000"/>
        <w:left w:val="none" w:sz="0" w:space="0" w:color="000000"/>
        <w:bottom w:val="none" w:sz="0" w:space="0" w:color="000000"/>
        <w:right w:val="none" w:sz="0" w:space="0" w:color="000000"/>
        <w:between w:val="none" w:sz="0" w:space="0" w:color="000000"/>
      </w:pBdr>
      <w:jc w:val="right"/>
    </w:pPr>
    <w:rPr>
      <w:rFonts w:ascii="Arial" w:hAnsi="Arial"/>
      <w:szCs w:val="22"/>
      <w:lang w:eastAsia="en-US"/>
    </w:rPr>
  </w:style>
  <w:style w:type="paragraph" w:customStyle="1" w:styleId="Reference">
    <w:name w:val="Reference"/>
    <w:basedOn w:val="a0"/>
    <w:qFormat/>
  </w:style>
  <w:style w:type="paragraph" w:customStyle="1" w:styleId="ZD">
    <w:name w:val="ZD"/>
    <w:qFormat/>
    <w:pPr>
      <w:framePr w:wrap="notBeside" w:vAnchor="page" w:hAnchor="margin" w:y="15764"/>
      <w:widowControl w:val="0"/>
      <w:pBdr>
        <w:top w:val="none" w:sz="0" w:space="0" w:color="000000"/>
        <w:left w:val="none" w:sz="0" w:space="0" w:color="000000"/>
        <w:bottom w:val="none" w:sz="0" w:space="0" w:color="000000"/>
        <w:right w:val="none" w:sz="0" w:space="0" w:color="000000"/>
        <w:between w:val="none" w:sz="0" w:space="0" w:color="000000"/>
      </w:pBdr>
    </w:pPr>
    <w:rPr>
      <w:rFonts w:ascii="Arial" w:hAnsi="Arial"/>
      <w:sz w:val="32"/>
      <w:szCs w:val="22"/>
      <w:lang w:eastAsia="en-US"/>
    </w:rPr>
  </w:style>
  <w:style w:type="paragraph" w:customStyle="1" w:styleId="TAN">
    <w:name w:val="TAN"/>
    <w:basedOn w:val="TAL"/>
    <w:qFormat/>
    <w:pPr>
      <w:ind w:left="851" w:hanging="851"/>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pBdr>
        <w:top w:val="none" w:sz="0" w:space="0" w:color="000000"/>
        <w:left w:val="none" w:sz="0" w:space="0" w:color="000000"/>
        <w:bottom w:val="none" w:sz="0" w:space="0" w:color="000000"/>
        <w:right w:val="none" w:sz="0" w:space="0" w:color="000000"/>
        <w:between w:val="none" w:sz="0" w:space="0" w:color="000000"/>
      </w:pBdr>
      <w:ind w:right="28"/>
      <w:jc w:val="right"/>
    </w:pPr>
    <w:rPr>
      <w:rFonts w:ascii="Arial" w:hAnsi="Arial"/>
      <w:i/>
      <w:szCs w:val="22"/>
      <w:lang w:eastAsia="en-US"/>
    </w:rPr>
  </w:style>
  <w:style w:type="paragraph" w:customStyle="1" w:styleId="ZU">
    <w:name w:val="ZU"/>
    <w:qFormat/>
    <w:pPr>
      <w:framePr w:w="10206" w:wrap="notBeside" w:vAnchor="page" w:hAnchor="margin" w:y="6238"/>
      <w:widowControl w:val="0"/>
      <w:pBdr>
        <w:top w:val="single" w:sz="12" w:space="1" w:color="auto"/>
        <w:left w:val="none" w:sz="0" w:space="0" w:color="000000"/>
        <w:bottom w:val="none" w:sz="0" w:space="0" w:color="000000"/>
        <w:right w:val="none" w:sz="0" w:space="0" w:color="000000"/>
        <w:between w:val="none" w:sz="0" w:space="0" w:color="000000"/>
      </w:pBdr>
      <w:jc w:val="right"/>
    </w:pPr>
    <w:rPr>
      <w:rFonts w:ascii="Arial" w:hAnsi="Arial"/>
      <w:szCs w:val="22"/>
      <w:lang w:eastAsia="en-US"/>
    </w:rPr>
  </w:style>
  <w:style w:type="paragraph" w:customStyle="1" w:styleId="ZV">
    <w:name w:val="ZV"/>
    <w:basedOn w:val="ZU"/>
    <w:qFormat/>
    <w:pPr>
      <w:framePr w:wrap="notBeside" w:y="16161"/>
    </w:pPr>
  </w:style>
  <w:style w:type="paragraph" w:customStyle="1" w:styleId="EX">
    <w:name w:val="EX"/>
    <w:basedOn w:val="a0"/>
    <w:link w:val="EXChar"/>
    <w:qFormat/>
    <w:pPr>
      <w:keepLines/>
      <w:spacing w:after="180"/>
      <w:ind w:left="1702" w:hanging="1418"/>
      <w:jc w:val="left"/>
    </w:pPr>
    <w:rPr>
      <w:lang w:eastAsia="en-US"/>
    </w:rPr>
  </w:style>
  <w:style w:type="paragraph" w:customStyle="1" w:styleId="ZH">
    <w:name w:val="ZH"/>
    <w:qFormat/>
    <w:pPr>
      <w:framePr w:wrap="notBeside" w:vAnchor="page" w:hAnchor="margin" w:xAlign="center" w:y="6805"/>
      <w:widowControl w:val="0"/>
      <w:pBdr>
        <w:top w:val="none" w:sz="0" w:space="0" w:color="000000"/>
        <w:left w:val="none" w:sz="0" w:space="0" w:color="000000"/>
        <w:bottom w:val="none" w:sz="0" w:space="0" w:color="000000"/>
        <w:right w:val="none" w:sz="0" w:space="0" w:color="000000"/>
        <w:between w:val="none" w:sz="0" w:space="0" w:color="000000"/>
      </w:pBdr>
    </w:pPr>
    <w:rPr>
      <w:rFonts w:ascii="Arial" w:hAnsi="Arial"/>
      <w:szCs w:val="22"/>
      <w:lang w:eastAsia="en-US"/>
    </w:rPr>
  </w:style>
  <w:style w:type="paragraph" w:customStyle="1" w:styleId="3GPPHeader">
    <w:name w:val="3GPP_Header"/>
    <w:basedOn w:val="a0"/>
    <w:qFormat/>
    <w:pPr>
      <w:tabs>
        <w:tab w:val="left" w:pos="1701"/>
        <w:tab w:val="right" w:pos="9639"/>
      </w:tabs>
      <w:spacing w:after="240"/>
    </w:pPr>
    <w:rPr>
      <w:b/>
      <w:sz w:val="24"/>
    </w:rPr>
  </w:style>
  <w:style w:type="paragraph" w:styleId="affb">
    <w:name w:val="List Paragraph"/>
    <w:basedOn w:val="a0"/>
    <w:link w:val="affc"/>
    <w:uiPriority w:val="34"/>
    <w:qFormat/>
    <w:pPr>
      <w:ind w:left="720"/>
      <w:contextualSpacing/>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spacing w:after="180"/>
      <w:jc w:val="left"/>
    </w:pPr>
    <w:rPr>
      <w:lang w:val="en-US" w:eastAsia="en-US"/>
    </w:rPr>
  </w:style>
  <w:style w:type="paragraph" w:customStyle="1" w:styleId="Figure">
    <w:name w:val="Figure"/>
    <w:basedOn w:val="a0"/>
    <w:next w:val="a6"/>
    <w:qFormat/>
    <w:pPr>
      <w:keepNext/>
      <w:keepLines/>
      <w:spacing w:before="180"/>
      <w:jc w:val="center"/>
    </w:pPr>
  </w:style>
  <w:style w:type="paragraph" w:customStyle="1" w:styleId="FP">
    <w:name w:val="FP"/>
    <w:basedOn w:val="a0"/>
    <w:qFormat/>
    <w:pPr>
      <w:spacing w:after="0"/>
      <w:jc w:val="left"/>
    </w:pPr>
    <w:rPr>
      <w:lang w:eastAsia="en-US"/>
    </w:rPr>
  </w:style>
  <w:style w:type="paragraph" w:customStyle="1" w:styleId="Proposal">
    <w:name w:val="Proposal"/>
    <w:basedOn w:val="a0"/>
    <w:qFormat/>
    <w:pPr>
      <w:numPr>
        <w:numId w:val="8"/>
      </w:numPr>
      <w:tabs>
        <w:tab w:val="left" w:pos="1701"/>
      </w:tabs>
    </w:pPr>
    <w:rPr>
      <w:b/>
      <w:bC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Observation">
    <w:name w:val="Observation"/>
    <w:basedOn w:val="Proposal"/>
    <w:qFormat/>
    <w:pPr>
      <w:numPr>
        <w:numId w:val="9"/>
      </w:numPr>
      <w:tabs>
        <w:tab w:val="left" w:pos="1304"/>
      </w:tabs>
    </w:pPr>
  </w:style>
  <w:style w:type="paragraph" w:customStyle="1" w:styleId="EmailDiscussion2">
    <w:name w:val="EmailDiscussion2"/>
    <w:basedOn w:val="Doc-text2"/>
    <w:qFormat/>
  </w:style>
  <w:style w:type="paragraph" w:customStyle="1" w:styleId="TAR">
    <w:name w:val="TAR"/>
    <w:basedOn w:val="TAL"/>
    <w:qFormat/>
    <w:pPr>
      <w:jc w:val="right"/>
    </w:pPr>
  </w:style>
  <w:style w:type="paragraph" w:customStyle="1" w:styleId="ZT">
    <w:name w:val="ZT"/>
    <w:qFormat/>
    <w:pPr>
      <w:framePr w:wrap="notBeside" w:hAnchor="margin" w:yAlign="center"/>
      <w:widowControl w:val="0"/>
      <w:pBdr>
        <w:top w:val="none" w:sz="0" w:space="0" w:color="000000"/>
        <w:left w:val="none" w:sz="0" w:space="0" w:color="000000"/>
        <w:bottom w:val="none" w:sz="0" w:space="0" w:color="000000"/>
        <w:right w:val="none" w:sz="0" w:space="0" w:color="000000"/>
        <w:between w:val="none" w:sz="0" w:space="0" w:color="000000"/>
      </w:pBdr>
      <w:spacing w:line="240" w:lineRule="atLeast"/>
      <w:jc w:val="right"/>
    </w:pPr>
    <w:rPr>
      <w:rFonts w:ascii="Arial" w:hAnsi="Arial"/>
      <w:b/>
      <w:sz w:val="34"/>
      <w:szCs w:val="22"/>
      <w:lang w:val="en-GB" w:eastAsia="en-US"/>
    </w:rPr>
  </w:style>
  <w:style w:type="paragraph" w:customStyle="1" w:styleId="TT">
    <w:name w:val="TT"/>
    <w:basedOn w:val="1"/>
    <w:next w:val="a0"/>
    <w:qFormat/>
    <w:pPr>
      <w:numPr>
        <w:numId w:val="0"/>
      </w:numPr>
      <w:ind w:left="1134" w:hanging="1134"/>
      <w:outlineLvl w:val="9"/>
    </w:pPr>
    <w:rPr>
      <w:sz w:val="20"/>
      <w:szCs w:val="20"/>
      <w:lang w:eastAsia="en-US"/>
    </w:rPr>
  </w:style>
  <w:style w:type="paragraph" w:customStyle="1" w:styleId="ZA">
    <w:name w:val="ZA"/>
    <w:qFormat/>
    <w:pPr>
      <w:framePr w:w="10206" w:h="794" w:hRule="exact" w:wrap="notBeside" w:vAnchor="page" w:hAnchor="margin" w:y="1135"/>
      <w:widowControl w:val="0"/>
      <w:pBdr>
        <w:top w:val="none" w:sz="0" w:space="0" w:color="000000"/>
        <w:left w:val="none" w:sz="0" w:space="0" w:color="000000"/>
        <w:bottom w:val="single" w:sz="12" w:space="1" w:color="auto"/>
        <w:right w:val="none" w:sz="0" w:space="0" w:color="000000"/>
        <w:between w:val="none" w:sz="0" w:space="0" w:color="000000"/>
      </w:pBdr>
      <w:jc w:val="right"/>
    </w:pPr>
    <w:rPr>
      <w:rFonts w:ascii="Arial" w:hAnsi="Arial"/>
      <w:sz w:val="40"/>
      <w:szCs w:val="22"/>
      <w:lang w:eastAsia="en-US"/>
    </w:rPr>
  </w:style>
  <w:style w:type="paragraph" w:customStyle="1" w:styleId="textintend2">
    <w:name w:val="text intend 2"/>
    <w:basedOn w:val="a0"/>
    <w:qFormat/>
    <w:pPr>
      <w:numPr>
        <w:numId w:val="10"/>
      </w:numPr>
    </w:pPr>
    <w:rPr>
      <w:rFonts w:ascii="Times New Roman" w:eastAsia="MS Mincho" w:hAnsi="Times New Roman"/>
      <w:sz w:val="24"/>
      <w:lang w:val="en-US" w:eastAsia="en-GB"/>
    </w:rPr>
  </w:style>
  <w:style w:type="paragraph" w:customStyle="1" w:styleId="CommentSubject1">
    <w:name w:val="Comment Subject1"/>
    <w:basedOn w:val="a8"/>
    <w:next w:val="a8"/>
    <w:semiHidden/>
    <w:qFormat/>
    <w:pPr>
      <w:numPr>
        <w:numId w:val="11"/>
      </w:numPr>
      <w:tabs>
        <w:tab w:val="clear" w:pos="851"/>
      </w:tabs>
      <w:spacing w:after="180"/>
      <w:ind w:left="0" w:firstLine="0"/>
      <w:jc w:val="left"/>
    </w:pPr>
    <w:rPr>
      <w:rFonts w:ascii="Times New Roman" w:eastAsia="MS Mincho" w:hAnsi="Times New Roman"/>
      <w:b/>
      <w:bCs/>
      <w:lang w:eastAsia="en-US"/>
    </w:rPr>
  </w:style>
  <w:style w:type="character" w:customStyle="1" w:styleId="a9">
    <w:name w:val="批注文字 字符"/>
    <w:link w:val="a8"/>
    <w:uiPriority w:val="99"/>
    <w:qFormat/>
    <w:rPr>
      <w:rFonts w:ascii="Arial" w:hAnsi="Arial"/>
      <w:lang w:val="en-GB"/>
    </w:rPr>
  </w:style>
  <w:style w:type="paragraph" w:customStyle="1" w:styleId="textintend1">
    <w:name w:val="text intend 1"/>
    <w:basedOn w:val="a0"/>
    <w:qFormat/>
    <w:pPr>
      <w:numPr>
        <w:numId w:val="12"/>
      </w:numPr>
    </w:pPr>
    <w:rPr>
      <w:rFonts w:ascii="MS PGothic" w:eastAsia="MS PGothic" w:hAnsi="MS PGothic" w:cs="MS PGothic"/>
      <w:sz w:val="24"/>
      <w:szCs w:val="24"/>
      <w:lang w:val="en-US" w:eastAsia="ja-JP"/>
    </w:rPr>
  </w:style>
  <w:style w:type="character" w:customStyle="1" w:styleId="affc">
    <w:name w:val="列表段落 字符"/>
    <w:link w:val="affb"/>
    <w:uiPriority w:val="34"/>
    <w:qFormat/>
    <w:rPr>
      <w:rFonts w:ascii="Arial" w:hAnsi="Arial"/>
      <w:lang w:val="en-GB"/>
    </w:rPr>
  </w:style>
  <w:style w:type="paragraph" w:customStyle="1" w:styleId="Agreement">
    <w:name w:val="Agreement"/>
    <w:basedOn w:val="a0"/>
    <w:next w:val="Doc-text2"/>
    <w:uiPriority w:val="99"/>
    <w:qFormat/>
    <w:pPr>
      <w:numPr>
        <w:numId w:val="13"/>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qFormat/>
    <w:rPr>
      <w:rFonts w:ascii="Arial" w:hAnsi="Arial"/>
      <w:color w:val="FF0000"/>
      <w:lang w:val="en-GB" w:eastAsia="en-US"/>
    </w:rPr>
  </w:style>
  <w:style w:type="character" w:styleId="affd">
    <w:name w:val="Placeholder Text"/>
    <w:basedOn w:val="a1"/>
    <w:uiPriority w:val="99"/>
    <w:unhideWhenUsed/>
    <w:qFormat/>
    <w:rPr>
      <w:color w:val="808080"/>
    </w:rPr>
  </w:style>
  <w:style w:type="character" w:customStyle="1" w:styleId="21">
    <w:name w:val="标题 2 字符"/>
    <w:basedOn w:val="a1"/>
    <w:link w:val="20"/>
    <w:qFormat/>
    <w:rPr>
      <w:rFonts w:ascii="Arial" w:hAnsi="Arial"/>
      <w:sz w:val="32"/>
      <w:szCs w:val="32"/>
      <w:lang w:val="en-GB"/>
    </w:rPr>
  </w:style>
  <w:style w:type="character" w:customStyle="1" w:styleId="31">
    <w:name w:val="标题 3 字符"/>
    <w:basedOn w:val="a1"/>
    <w:link w:val="30"/>
    <w:qFormat/>
    <w:rPr>
      <w:rFonts w:ascii="Arial" w:hAnsi="Arial"/>
      <w:sz w:val="28"/>
      <w:szCs w:val="28"/>
      <w:lang w:val="en-GB"/>
    </w:rPr>
  </w:style>
  <w:style w:type="paragraph" w:customStyle="1" w:styleId="13">
    <w:name w:val="修订1"/>
    <w:hidden/>
    <w:uiPriority w:val="99"/>
    <w:unhideWhenUsed/>
    <w:qFormat/>
    <w:pPr>
      <w:pBdr>
        <w:top w:val="none" w:sz="0" w:space="0" w:color="000000"/>
        <w:left w:val="none" w:sz="0" w:space="0" w:color="000000"/>
        <w:bottom w:val="none" w:sz="0" w:space="0" w:color="000000"/>
        <w:right w:val="none" w:sz="0" w:space="0" w:color="000000"/>
        <w:between w:val="none" w:sz="0" w:space="0" w:color="000000"/>
      </w:pBdr>
    </w:pPr>
    <w:rPr>
      <w:rFonts w:ascii="Arial" w:hAnsi="Arial"/>
      <w:szCs w:val="22"/>
      <w:lang w:val="en-GB"/>
    </w:rPr>
  </w:style>
  <w:style w:type="paragraph" w:customStyle="1" w:styleId="NF">
    <w:name w:val="NF"/>
    <w:basedOn w:val="NO"/>
    <w:qFormat/>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Pr>
      <w:rFonts w:ascii="Arial" w:hAnsi="Arial"/>
      <w:sz w:val="18"/>
      <w:lang w:val="en-GB" w:eastAsia="en-US"/>
    </w:rPr>
  </w:style>
  <w:style w:type="paragraph" w:customStyle="1" w:styleId="Comments">
    <w:name w:val="Comments"/>
    <w:basedOn w:val="a0"/>
    <w:link w:val="CommentsChar"/>
    <w:qFormat/>
    <w:pPr>
      <w:pBdr>
        <w:top w:val="none" w:sz="0" w:space="0" w:color="auto"/>
        <w:left w:val="none" w:sz="0" w:space="0" w:color="auto"/>
        <w:bottom w:val="none" w:sz="0" w:space="0" w:color="auto"/>
        <w:right w:val="none" w:sz="0" w:space="0" w:color="auto"/>
        <w:between w:val="none" w:sz="0" w:space="0" w:color="auto"/>
      </w:pBdr>
      <w:spacing w:before="40" w:after="0"/>
      <w:jc w:val="left"/>
    </w:pPr>
    <w:rPr>
      <w:rFonts w:eastAsia="MS Mincho"/>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Zchn">
    <w:name w:val="NO Zchn"/>
    <w:qFormat/>
    <w:rPr>
      <w:lang w:eastAsia="en-US"/>
    </w:rPr>
  </w:style>
  <w:style w:type="paragraph" w:customStyle="1" w:styleId="DECISION">
    <w:name w:val="DECISION"/>
    <w:basedOn w:val="a0"/>
    <w:qFormat/>
    <w:pPr>
      <w:widowControl w:val="0"/>
      <w:numPr>
        <w:numId w:val="14"/>
      </w:numPr>
      <w:pBdr>
        <w:top w:val="none" w:sz="0" w:space="0" w:color="auto"/>
        <w:left w:val="none" w:sz="0" w:space="0" w:color="auto"/>
        <w:bottom w:val="none" w:sz="0" w:space="0" w:color="auto"/>
        <w:right w:val="none" w:sz="0" w:space="0" w:color="auto"/>
        <w:between w:val="none" w:sz="0" w:space="0" w:color="auto"/>
      </w:pBdr>
      <w:spacing w:before="120"/>
    </w:pPr>
    <w:rPr>
      <w:rFonts w:eastAsia="Batang"/>
      <w:b/>
      <w:color w:val="0000FF"/>
      <w:szCs w:val="20"/>
      <w:u w:val="single"/>
      <w:lang w:eastAsia="en-US"/>
    </w:rPr>
  </w:style>
  <w:style w:type="character" w:customStyle="1" w:styleId="EXChar">
    <w:name w:val="EX Char"/>
    <w:link w:val="EX"/>
    <w:qFormat/>
    <w:locked/>
    <w:rPr>
      <w:rFonts w:ascii="Arial" w:hAnsi="Arial"/>
      <w:lang w:val="en-GB" w:eastAsia="en-US"/>
    </w:rPr>
  </w:style>
  <w:style w:type="table" w:customStyle="1" w:styleId="5-31">
    <w:name w:val="网格表 5 深色 - 着色 31"/>
    <w:basedOn w:val="a2"/>
    <w:uiPriority w:val="50"/>
    <w:qFormat/>
    <w:rPr>
      <w:lang w:eastAsia="ko-KR"/>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BoldComments">
    <w:name w:val="Bold Comments"/>
    <w:basedOn w:val="a0"/>
    <w:link w:val="BoldCommentsChar"/>
    <w:qFormat/>
    <w:pPr>
      <w:pBdr>
        <w:top w:val="none" w:sz="0" w:space="0" w:color="auto"/>
        <w:left w:val="none" w:sz="0" w:space="0" w:color="auto"/>
        <w:bottom w:val="none" w:sz="0" w:space="0" w:color="auto"/>
        <w:right w:val="none" w:sz="0" w:space="0" w:color="auto"/>
        <w:between w:val="none" w:sz="0" w:space="0" w:color="auto"/>
      </w:pBdr>
      <w:spacing w:before="240" w:after="60"/>
      <w:jc w:val="left"/>
      <w:outlineLvl w:val="8"/>
    </w:pPr>
    <w:rPr>
      <w:rFonts w:eastAsia="MS Mincho"/>
      <w:b/>
      <w:szCs w:val="24"/>
      <w:lang w:val="zh-CN"/>
    </w:rPr>
  </w:style>
  <w:style w:type="character" w:customStyle="1" w:styleId="BoldCommentsChar">
    <w:name w:val="Bold Comments Char"/>
    <w:link w:val="BoldComments"/>
    <w:qFormat/>
    <w:rPr>
      <w:rFonts w:ascii="Arial" w:eastAsia="MS Mincho" w:hAnsi="Arial"/>
      <w:b/>
      <w:szCs w:val="24"/>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Pages>
  <Words>1229</Words>
  <Characters>6236</Characters>
  <Application>Microsoft Office Word</Application>
  <DocSecurity>0</DocSecurity>
  <Lines>148</Lines>
  <Paragraphs>108</Paragraphs>
  <ScaleCrop>false</ScaleCrop>
  <Company/>
  <LinksUpToDate>false</LinksUpToDate>
  <CharactersWithSpaces>7357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creator>Zhe Fu</dc:creator>
  <cp:keywords>3GPP; OPPO; TDoc, CTPClassification=CTP_NT</cp:keywords>
  <cp:lastModifiedBy>OPPO-Zhe Fu</cp:lastModifiedBy>
  <cp:revision>13</cp:revision>
  <dcterms:created xsi:type="dcterms:W3CDTF">2023-11-29T08:55:00Z</dcterms:created>
  <dcterms:modified xsi:type="dcterms:W3CDTF">2023-12-01T06:14:00Z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db50e0547068a0456dbf30d302467a99a01ee784c5f4d675237e41a59c81d2ab</vt:lpwstr>
  </property>
  <property fmtid="{D5CDD505-2E9C-101B-9397-08002B2CF9AE}" pid="3" name="KSOProductBuildVer">
    <vt:lpwstr>1033-11.1.0.11708</vt:lpwstr>
  </property>
</Properties>
</file>